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0C" w:rsidRPr="000F3C0C" w:rsidRDefault="000F3C0C" w:rsidP="000F3C0C">
      <w:pPr>
        <w:spacing w:after="360"/>
        <w:ind w:left="0" w:firstLine="0"/>
        <w:rPr>
          <w:rFonts w:eastAsia="MS Mincho" w:cs="Arial"/>
          <w:b/>
          <w:sz w:val="44"/>
          <w:szCs w:val="44"/>
          <w:lang w:eastAsia="ja-JP"/>
        </w:rPr>
      </w:pPr>
      <w:bookmarkStart w:id="0" w:name="_GoBack"/>
      <w:bookmarkEnd w:id="0"/>
      <w:r w:rsidRPr="000F3C0C">
        <w:rPr>
          <w:rFonts w:eastAsia="MS Mincho" w:cs="Arial"/>
          <w:b/>
          <w:sz w:val="44"/>
          <w:szCs w:val="44"/>
          <w:lang w:eastAsia="ja-JP"/>
        </w:rPr>
        <w:t>National Disability Services (NDS)</w:t>
      </w:r>
    </w:p>
    <w:p w:rsidR="00796038" w:rsidRPr="00571331" w:rsidRDefault="009D1DA3" w:rsidP="000F3C0C">
      <w:pPr>
        <w:pStyle w:val="Heading1"/>
        <w:ind w:left="0" w:right="-34" w:firstLine="0"/>
        <w:jc w:val="left"/>
        <w:rPr>
          <w:rFonts w:eastAsia="MS Mincho"/>
          <w:sz w:val="32"/>
          <w:lang w:eastAsia="ja-JP"/>
        </w:rPr>
      </w:pPr>
      <w:r>
        <w:rPr>
          <w:rFonts w:eastAsia="MS Mincho"/>
          <w:lang w:eastAsia="ja-JP"/>
        </w:rPr>
        <w:t xml:space="preserve">Submission to the Royal Commission on </w:t>
      </w:r>
      <w:r w:rsidR="007B5C70">
        <w:rPr>
          <w:rFonts w:eastAsia="MS Mincho"/>
          <w:lang w:eastAsia="ja-JP"/>
        </w:rPr>
        <w:t xml:space="preserve">the </w:t>
      </w:r>
      <w:r>
        <w:rPr>
          <w:rFonts w:eastAsia="MS Mincho"/>
          <w:lang w:eastAsia="ja-JP"/>
        </w:rPr>
        <w:t>group homes</w:t>
      </w:r>
      <w:r w:rsidR="007B5C70">
        <w:rPr>
          <w:rFonts w:eastAsia="MS Mincho"/>
          <w:lang w:eastAsia="ja-JP"/>
        </w:rPr>
        <w:t xml:space="preserve"> issues paper</w:t>
      </w:r>
    </w:p>
    <w:p w:rsidR="00CC6B12" w:rsidRPr="00CC6B12" w:rsidRDefault="00CC6B12" w:rsidP="000F3C0C">
      <w:pPr>
        <w:ind w:left="0" w:firstLine="0"/>
        <w:rPr>
          <w:rFonts w:cs="Arial"/>
          <w:lang w:val="en"/>
        </w:rPr>
      </w:pPr>
      <w:r w:rsidRPr="00CC6B12">
        <w:rPr>
          <w:rFonts w:cs="Arial"/>
          <w:lang w:val="en"/>
        </w:rPr>
        <w:t>Group homes have been a core component of the suite of disability services funded by state and territory governments over the past 40 or so years</w:t>
      </w:r>
      <w:r w:rsidR="00226137">
        <w:rPr>
          <w:rFonts w:cs="Arial"/>
          <w:lang w:val="en"/>
        </w:rPr>
        <w:t xml:space="preserve">. </w:t>
      </w:r>
      <w:r w:rsidR="00D907D0">
        <w:rPr>
          <w:rFonts w:cs="Arial"/>
          <w:lang w:val="en"/>
        </w:rPr>
        <w:t>At some stage,</w:t>
      </w:r>
      <w:r w:rsidRPr="00CC6B12">
        <w:rPr>
          <w:rFonts w:cs="Arial"/>
          <w:lang w:val="en"/>
        </w:rPr>
        <w:t xml:space="preserve"> most governments have been significant providers of these group home supports, gradually decreasing </w:t>
      </w:r>
      <w:r w:rsidR="00813DA0">
        <w:rPr>
          <w:rFonts w:cs="Arial"/>
          <w:lang w:val="en"/>
        </w:rPr>
        <w:t xml:space="preserve">in most jurisdictions </w:t>
      </w:r>
      <w:r w:rsidR="00CB5D0C">
        <w:rPr>
          <w:rFonts w:cs="Arial"/>
          <w:lang w:val="en"/>
        </w:rPr>
        <w:t xml:space="preserve">due to the transfer of properties to </w:t>
      </w:r>
      <w:r w:rsidRPr="00CC6B12">
        <w:rPr>
          <w:rFonts w:cs="Arial"/>
          <w:lang w:val="en"/>
        </w:rPr>
        <w:t>the non-government sector (primarily not-for-profit organisations)</w:t>
      </w:r>
      <w:r w:rsidR="00CB5D0C">
        <w:rPr>
          <w:rFonts w:cs="Arial"/>
          <w:lang w:val="en"/>
        </w:rPr>
        <w:t xml:space="preserve"> to manage</w:t>
      </w:r>
      <w:r w:rsidRPr="00CC6B12">
        <w:rPr>
          <w:rFonts w:cs="Arial"/>
          <w:lang w:val="en"/>
        </w:rPr>
        <w:t>.</w:t>
      </w:r>
      <w:r w:rsidR="00226137">
        <w:rPr>
          <w:rFonts w:cs="Arial"/>
          <w:lang w:val="en"/>
        </w:rPr>
        <w:t xml:space="preserve"> With the introduction of the National Disability Insurance Scheme (NDIS) the Commonwealth is also contributing funding to people with disability living in shared arrangements. </w:t>
      </w:r>
    </w:p>
    <w:p w:rsidR="00CC6B12" w:rsidRPr="00CC6B12" w:rsidRDefault="00D907D0" w:rsidP="000F3C0C">
      <w:pPr>
        <w:ind w:left="0" w:firstLine="0"/>
        <w:rPr>
          <w:rFonts w:cs="Arial"/>
          <w:lang w:val="en"/>
        </w:rPr>
      </w:pPr>
      <w:r>
        <w:rPr>
          <w:rFonts w:cs="Arial"/>
          <w:lang w:val="en"/>
        </w:rPr>
        <w:t>During this time,</w:t>
      </w:r>
      <w:r w:rsidR="009D209F">
        <w:rPr>
          <w:rFonts w:cs="Arial"/>
          <w:lang w:val="en"/>
        </w:rPr>
        <w:t xml:space="preserve"> a</w:t>
      </w:r>
      <w:r w:rsidR="00B22D5C">
        <w:rPr>
          <w:rFonts w:cs="Arial"/>
          <w:lang w:val="en"/>
        </w:rPr>
        <w:t xml:space="preserve"> significant proportion of government funding for disability </w:t>
      </w:r>
      <w:r w:rsidR="009D209F">
        <w:rPr>
          <w:rFonts w:cs="Arial"/>
          <w:lang w:val="en"/>
        </w:rPr>
        <w:t>services</w:t>
      </w:r>
      <w:r w:rsidR="00B22D5C">
        <w:rPr>
          <w:rFonts w:cs="Arial"/>
          <w:lang w:val="en"/>
        </w:rPr>
        <w:t xml:space="preserve"> has been directed to group homes, </w:t>
      </w:r>
      <w:r w:rsidR="00CC6B12" w:rsidRPr="00CC6B12">
        <w:rPr>
          <w:rFonts w:cs="Arial"/>
          <w:lang w:val="en"/>
        </w:rPr>
        <w:t xml:space="preserve">primarily due to the high level of </w:t>
      </w:r>
      <w:r w:rsidR="00A2361A">
        <w:rPr>
          <w:rFonts w:cs="Arial"/>
          <w:lang w:val="en"/>
        </w:rPr>
        <w:t>support</w:t>
      </w:r>
      <w:r w:rsidR="00CC6B12" w:rsidRPr="00CC6B12">
        <w:rPr>
          <w:rFonts w:cs="Arial"/>
          <w:lang w:val="en"/>
        </w:rPr>
        <w:t xml:space="preserve"> provided over the course of a week. As </w:t>
      </w:r>
      <w:r w:rsidR="009D209F">
        <w:rPr>
          <w:rFonts w:cs="Arial"/>
          <w:lang w:val="en"/>
        </w:rPr>
        <w:t>group home providers</w:t>
      </w:r>
      <w:r w:rsidR="00CC6B12" w:rsidRPr="00CC6B12">
        <w:rPr>
          <w:rFonts w:cs="Arial"/>
          <w:lang w:val="en"/>
        </w:rPr>
        <w:t xml:space="preserve"> assist people with significant disability with their in-home supports needs (such as personal care, behaviour and medication management, relationship matters and meals) and </w:t>
      </w:r>
      <w:r w:rsidR="00A00E0D">
        <w:rPr>
          <w:rFonts w:cs="Arial"/>
          <w:lang w:val="en"/>
        </w:rPr>
        <w:t xml:space="preserve">often with </w:t>
      </w:r>
      <w:r w:rsidR="00CC6B12" w:rsidRPr="00CC6B12">
        <w:rPr>
          <w:rFonts w:cs="Arial"/>
          <w:lang w:val="en"/>
        </w:rPr>
        <w:t>some social participation, they can be a relatively complex and high</w:t>
      </w:r>
      <w:r w:rsidR="000D2C61">
        <w:rPr>
          <w:rFonts w:cs="Arial"/>
          <w:lang w:val="en"/>
        </w:rPr>
        <w:t>-</w:t>
      </w:r>
      <w:r w:rsidR="00CC6B12" w:rsidRPr="00CC6B12">
        <w:rPr>
          <w:rFonts w:cs="Arial"/>
          <w:lang w:val="en"/>
        </w:rPr>
        <w:t>risk support to provide.</w:t>
      </w:r>
    </w:p>
    <w:p w:rsidR="00B765BA" w:rsidRDefault="00F01BAF" w:rsidP="000F3C0C">
      <w:pPr>
        <w:ind w:left="0" w:firstLine="0"/>
        <w:rPr>
          <w:rFonts w:cs="Arial"/>
          <w:lang w:val="en"/>
        </w:rPr>
      </w:pPr>
      <w:r>
        <w:rPr>
          <w:rFonts w:cs="Arial"/>
          <w:lang w:val="en"/>
        </w:rPr>
        <w:t xml:space="preserve">This submission provides </w:t>
      </w:r>
      <w:r w:rsidR="008A5070">
        <w:rPr>
          <w:rFonts w:cs="Arial"/>
          <w:lang w:val="en"/>
        </w:rPr>
        <w:t xml:space="preserve">a brief picture of </w:t>
      </w:r>
      <w:r>
        <w:rPr>
          <w:rFonts w:cs="Arial"/>
          <w:lang w:val="en"/>
        </w:rPr>
        <w:t>group homes and quality and safeguarding systems prior to the introduction of the NDIS</w:t>
      </w:r>
      <w:r w:rsidR="00785C5B">
        <w:rPr>
          <w:rFonts w:cs="Arial"/>
          <w:lang w:val="en"/>
        </w:rPr>
        <w:t>, highlighting significant differences across jurisdictions</w:t>
      </w:r>
      <w:r>
        <w:rPr>
          <w:rFonts w:cs="Arial"/>
          <w:lang w:val="en"/>
        </w:rPr>
        <w:t xml:space="preserve">. It then considers the current operating environment for group homes </w:t>
      </w:r>
      <w:r w:rsidR="009D209F">
        <w:rPr>
          <w:rFonts w:cs="Arial"/>
          <w:lang w:val="en"/>
        </w:rPr>
        <w:t xml:space="preserve">(though that is a term no longer used) </w:t>
      </w:r>
      <w:r>
        <w:rPr>
          <w:rFonts w:cs="Arial"/>
          <w:lang w:val="en"/>
        </w:rPr>
        <w:t>and challenges experienced</w:t>
      </w:r>
      <w:r w:rsidR="000D2C61">
        <w:rPr>
          <w:rFonts w:cs="Arial"/>
          <w:lang w:val="en"/>
        </w:rPr>
        <w:t>,</w:t>
      </w:r>
      <w:r>
        <w:rPr>
          <w:rFonts w:cs="Arial"/>
          <w:lang w:val="en"/>
        </w:rPr>
        <w:t xml:space="preserve"> before addressing some of the questions posed in the issues paper. </w:t>
      </w:r>
      <w:r w:rsidR="00D87E4F">
        <w:rPr>
          <w:rFonts w:cs="Arial"/>
          <w:lang w:val="en"/>
        </w:rPr>
        <w:t>This history is important as it demonstrates group homes across Australia have operated with quite different resources and under different regulatory frameworks. This would have impacted on levels of support</w:t>
      </w:r>
      <w:r w:rsidR="001451B9">
        <w:rPr>
          <w:rFonts w:cs="Arial"/>
          <w:lang w:val="en"/>
        </w:rPr>
        <w:t>s</w:t>
      </w:r>
      <w:r w:rsidR="00D87E4F">
        <w:rPr>
          <w:rFonts w:cs="Arial"/>
          <w:lang w:val="en"/>
        </w:rPr>
        <w:t xml:space="preserve"> and how they were provided.</w:t>
      </w:r>
      <w:r>
        <w:rPr>
          <w:rFonts w:cs="Arial"/>
          <w:lang w:val="en"/>
        </w:rPr>
        <w:t xml:space="preserve"> </w:t>
      </w:r>
    </w:p>
    <w:p w:rsidR="00CC6B12" w:rsidRDefault="002E68A2" w:rsidP="000F3C0C">
      <w:pPr>
        <w:ind w:left="0" w:firstLine="0"/>
        <w:rPr>
          <w:rFonts w:cs="Arial"/>
          <w:lang w:val="en"/>
        </w:rPr>
      </w:pPr>
      <w:r>
        <w:rPr>
          <w:rFonts w:cs="Arial"/>
          <w:lang w:val="en"/>
        </w:rPr>
        <w:t>T</w:t>
      </w:r>
      <w:r w:rsidR="002206BF">
        <w:rPr>
          <w:rFonts w:cs="Arial"/>
          <w:lang w:val="en"/>
        </w:rPr>
        <w:t xml:space="preserve">he submission </w:t>
      </w:r>
      <w:r w:rsidR="001451B9">
        <w:rPr>
          <w:rFonts w:cs="Arial"/>
          <w:lang w:val="en"/>
        </w:rPr>
        <w:t xml:space="preserve">also </w:t>
      </w:r>
      <w:r>
        <w:rPr>
          <w:rFonts w:cs="Arial"/>
          <w:lang w:val="en"/>
        </w:rPr>
        <w:t xml:space="preserve">provides links to </w:t>
      </w:r>
      <w:r w:rsidR="002206BF">
        <w:rPr>
          <w:rFonts w:cs="Arial"/>
          <w:lang w:val="en"/>
        </w:rPr>
        <w:t xml:space="preserve">resources NDS has produced and promoted to </w:t>
      </w:r>
      <w:r w:rsidR="00014236">
        <w:rPr>
          <w:rFonts w:cs="Arial"/>
          <w:lang w:val="en"/>
        </w:rPr>
        <w:t>providers</w:t>
      </w:r>
      <w:r w:rsidR="002206BF">
        <w:rPr>
          <w:rFonts w:cs="Arial"/>
          <w:lang w:val="en"/>
        </w:rPr>
        <w:t xml:space="preserve"> in an effort to encourage </w:t>
      </w:r>
      <w:r w:rsidR="00D77281">
        <w:rPr>
          <w:rFonts w:cs="Arial"/>
          <w:lang w:val="en"/>
        </w:rPr>
        <w:t xml:space="preserve">and guide </w:t>
      </w:r>
      <w:r w:rsidR="002206BF">
        <w:rPr>
          <w:rFonts w:cs="Arial"/>
          <w:lang w:val="en"/>
        </w:rPr>
        <w:t>them to improve the quality of their service</w:t>
      </w:r>
      <w:r w:rsidR="00014236">
        <w:rPr>
          <w:rFonts w:cs="Arial"/>
          <w:lang w:val="en"/>
        </w:rPr>
        <w:t>s</w:t>
      </w:r>
      <w:r w:rsidR="00D83B25">
        <w:rPr>
          <w:rFonts w:cs="Arial"/>
          <w:lang w:val="en"/>
        </w:rPr>
        <w:t>—</w:t>
      </w:r>
      <w:r w:rsidR="002206BF">
        <w:rPr>
          <w:rFonts w:cs="Arial"/>
          <w:lang w:val="en"/>
        </w:rPr>
        <w:t xml:space="preserve">A Guide to Good Group Homes and the Zero Tolerance Initiative. Each is referred to in more detail </w:t>
      </w:r>
      <w:r w:rsidR="001451B9">
        <w:rPr>
          <w:rFonts w:cs="Arial"/>
          <w:lang w:val="en"/>
        </w:rPr>
        <w:t>later in this submission</w:t>
      </w:r>
      <w:r w:rsidR="002206BF">
        <w:rPr>
          <w:rFonts w:cs="Arial"/>
          <w:lang w:val="en"/>
        </w:rPr>
        <w:t>.</w:t>
      </w:r>
    </w:p>
    <w:p w:rsidR="00CC6B12" w:rsidRPr="00915A7E" w:rsidRDefault="004A030C" w:rsidP="000F3C0C">
      <w:pPr>
        <w:pStyle w:val="Heading2"/>
        <w:ind w:left="357"/>
      </w:pPr>
      <w:bookmarkStart w:id="1" w:name="_yp5j545tklat" w:colFirst="0" w:colLast="0"/>
      <w:bookmarkEnd w:id="1"/>
      <w:r>
        <w:t>Group homes pre-</w:t>
      </w:r>
      <w:r w:rsidR="00F01BAF">
        <w:t>NDIS</w:t>
      </w:r>
    </w:p>
    <w:p w:rsidR="00CC6B12" w:rsidRPr="00CC6B12" w:rsidRDefault="00CC6B12" w:rsidP="000F3C0C">
      <w:pPr>
        <w:ind w:left="0" w:firstLine="0"/>
        <w:rPr>
          <w:rFonts w:cs="Arial"/>
          <w:lang w:val="en"/>
        </w:rPr>
      </w:pPr>
      <w:r w:rsidRPr="00CC6B12">
        <w:rPr>
          <w:rFonts w:cs="Arial"/>
          <w:lang w:val="en"/>
        </w:rPr>
        <w:t xml:space="preserve">The story of accommodation for people with disability in Australia is one of transition. With the closure of </w:t>
      </w:r>
      <w:r w:rsidR="00A0662C">
        <w:rPr>
          <w:rFonts w:cs="Arial"/>
          <w:lang w:val="en"/>
        </w:rPr>
        <w:t>most</w:t>
      </w:r>
      <w:r w:rsidRPr="00CC6B12">
        <w:rPr>
          <w:rFonts w:cs="Arial"/>
          <w:lang w:val="en"/>
        </w:rPr>
        <w:t xml:space="preserve"> large-scale institutions in the 1980s and early </w:t>
      </w:r>
      <w:r w:rsidR="009D209F">
        <w:rPr>
          <w:rFonts w:cs="Arial"/>
          <w:lang w:val="en"/>
        </w:rPr>
        <w:t>19</w:t>
      </w:r>
      <w:r w:rsidRPr="00CC6B12">
        <w:rPr>
          <w:rFonts w:cs="Arial"/>
          <w:lang w:val="en"/>
        </w:rPr>
        <w:t>90s, many residents moved into group homes, whereby they would receive both supports and accommodation alongside three to five other people with disability. The history of this transition is succinctly outlined in ‘A brief history of the disability services sector in Australia: 1992–present day’.</w:t>
      </w:r>
      <w:r w:rsidR="000F3C0C">
        <w:rPr>
          <w:rFonts w:cs="Arial"/>
          <w:lang w:val="en"/>
        </w:rPr>
        <w:t xml:space="preserve"> </w:t>
      </w:r>
      <w:r w:rsidR="000F3C0C" w:rsidRPr="00785C5B">
        <w:rPr>
          <w:rFonts w:cs="Arial"/>
          <w:szCs w:val="20"/>
        </w:rPr>
        <w:t>For a description of the history of accommodation support, see Life Without Barriers, 2019, ‘A brief history of the disability services sector in Australia: 1992-present day’</w:t>
      </w:r>
    </w:p>
    <w:p w:rsidR="00CC6B12" w:rsidRPr="000F3C0C" w:rsidRDefault="00CC6B12" w:rsidP="000F3C0C">
      <w:pPr>
        <w:ind w:left="0" w:firstLine="0"/>
        <w:rPr>
          <w:rFonts w:cs="Arial"/>
          <w:szCs w:val="20"/>
        </w:rPr>
      </w:pPr>
      <w:r w:rsidRPr="000F3C0C">
        <w:rPr>
          <w:rFonts w:cs="Arial"/>
          <w:szCs w:val="20"/>
        </w:rPr>
        <w:t xml:space="preserve">Following </w:t>
      </w:r>
      <w:r w:rsidR="002206BF" w:rsidRPr="000F3C0C">
        <w:rPr>
          <w:rFonts w:cs="Arial"/>
          <w:szCs w:val="20"/>
        </w:rPr>
        <w:t>the closure of institutions</w:t>
      </w:r>
      <w:r w:rsidRPr="000F3C0C">
        <w:rPr>
          <w:rFonts w:cs="Arial"/>
          <w:szCs w:val="20"/>
        </w:rPr>
        <w:t>, the landscape of group homes varied across jurisdictions, in how they were managed, the prevalence of their use, and their resourcing.</w:t>
      </w:r>
    </w:p>
    <w:p w:rsidR="00CC6B12" w:rsidRPr="000F3C0C" w:rsidRDefault="00CC6B12" w:rsidP="000F3C0C">
      <w:pPr>
        <w:ind w:left="0" w:firstLine="0"/>
        <w:rPr>
          <w:rFonts w:cs="Arial"/>
          <w:szCs w:val="20"/>
        </w:rPr>
      </w:pPr>
      <w:r w:rsidRPr="000F3C0C">
        <w:rPr>
          <w:rFonts w:cs="Arial"/>
          <w:szCs w:val="20"/>
        </w:rPr>
        <w:t xml:space="preserve">The Report of Government Services 2015 provides information about users of accommodation services (all types) as a proportion of the total estimated potential population for accommodation services in 2012–13 (which is </w:t>
      </w:r>
      <w:r w:rsidR="00286C5F" w:rsidRPr="000F3C0C">
        <w:rPr>
          <w:rFonts w:cs="Arial"/>
          <w:szCs w:val="20"/>
        </w:rPr>
        <w:t xml:space="preserve">just </w:t>
      </w:r>
      <w:r w:rsidRPr="000F3C0C">
        <w:rPr>
          <w:rFonts w:cs="Arial"/>
          <w:szCs w:val="20"/>
        </w:rPr>
        <w:t xml:space="preserve">prior to the </w:t>
      </w:r>
      <w:r w:rsidR="00286C5F" w:rsidRPr="000F3C0C">
        <w:rPr>
          <w:rFonts w:cs="Arial"/>
          <w:szCs w:val="20"/>
        </w:rPr>
        <w:t xml:space="preserve">beginning of the introduction of the </w:t>
      </w:r>
      <w:r w:rsidRPr="000F3C0C">
        <w:rPr>
          <w:rFonts w:cs="Arial"/>
          <w:szCs w:val="20"/>
        </w:rPr>
        <w:t>NDIS). South Australia and Tasmania had the highest proportions of users (at 13.6 and 10.5 percent respectively). Victoria and the ACT had the lowest at 5.3 per cent</w:t>
      </w:r>
      <w:r w:rsidR="007A08D0" w:rsidRPr="000F3C0C">
        <w:rPr>
          <w:rFonts w:cs="Arial"/>
          <w:szCs w:val="20"/>
        </w:rPr>
        <w:t xml:space="preserve"> each</w:t>
      </w:r>
      <w:r w:rsidRPr="000F3C0C">
        <w:rPr>
          <w:rFonts w:cs="Arial"/>
          <w:szCs w:val="20"/>
        </w:rPr>
        <w:t xml:space="preserve"> (the Australian average was 6.5 per cent).</w:t>
      </w:r>
      <w:r w:rsidR="008A5070" w:rsidRPr="000F3C0C">
        <w:rPr>
          <w:rFonts w:cs="Arial"/>
          <w:szCs w:val="20"/>
        </w:rPr>
        <w:t xml:space="preserve"> </w:t>
      </w:r>
      <w:r w:rsidR="000F3C0C" w:rsidRPr="00785C5B">
        <w:rPr>
          <w:rFonts w:cs="Arial"/>
        </w:rPr>
        <w:t xml:space="preserve">See the </w:t>
      </w:r>
      <w:hyperlink r:id="rId8" w:history="1">
        <w:r w:rsidR="000F3C0C" w:rsidRPr="000F3C0C">
          <w:rPr>
            <w:rStyle w:val="Hyperlink"/>
            <w:rFonts w:cs="Arial"/>
          </w:rPr>
          <w:t>Productivity Commission’s Report on Government Services</w:t>
        </w:r>
      </w:hyperlink>
      <w:r w:rsidR="000F3C0C">
        <w:rPr>
          <w:rFonts w:cs="Arial"/>
        </w:rPr>
        <w:t xml:space="preserve"> 2015</w:t>
      </w:r>
      <w:r w:rsidR="000F3C0C" w:rsidRPr="00785C5B">
        <w:rPr>
          <w:rFonts w:cs="Arial"/>
        </w:rPr>
        <w:t>, Tables 14A.15, 14A.18, 14A.59 and 14A.87</w:t>
      </w:r>
    </w:p>
    <w:p w:rsidR="00CC6B12" w:rsidRPr="000F3C0C" w:rsidRDefault="00CC6B12" w:rsidP="000F3C0C">
      <w:pPr>
        <w:ind w:left="0" w:firstLine="0"/>
        <w:rPr>
          <w:rFonts w:cs="Arial"/>
          <w:szCs w:val="20"/>
        </w:rPr>
      </w:pPr>
      <w:r w:rsidRPr="000F3C0C">
        <w:rPr>
          <w:rFonts w:cs="Arial"/>
          <w:szCs w:val="20"/>
        </w:rPr>
        <w:t>Governments fund</w:t>
      </w:r>
      <w:r w:rsidR="00B04926" w:rsidRPr="000F3C0C">
        <w:rPr>
          <w:rFonts w:cs="Arial"/>
          <w:szCs w:val="20"/>
        </w:rPr>
        <w:t>ed</w:t>
      </w:r>
      <w:r w:rsidRPr="000F3C0C">
        <w:rPr>
          <w:rFonts w:cs="Arial"/>
          <w:szCs w:val="20"/>
        </w:rPr>
        <w:t xml:space="preserve"> the group homes </w:t>
      </w:r>
      <w:r w:rsidR="000F087E" w:rsidRPr="000F3C0C">
        <w:rPr>
          <w:rFonts w:cs="Arial"/>
          <w:szCs w:val="20"/>
        </w:rPr>
        <w:t xml:space="preserve">they managed </w:t>
      </w:r>
      <w:r w:rsidRPr="000F3C0C">
        <w:rPr>
          <w:rFonts w:cs="Arial"/>
          <w:szCs w:val="20"/>
        </w:rPr>
        <w:t>at substantially higher rates th</w:t>
      </w:r>
      <w:r w:rsidR="000B2899" w:rsidRPr="000F3C0C">
        <w:rPr>
          <w:rFonts w:cs="Arial"/>
          <w:szCs w:val="20"/>
        </w:rPr>
        <w:t>a</w:t>
      </w:r>
      <w:r w:rsidRPr="000F3C0C">
        <w:rPr>
          <w:rFonts w:cs="Arial"/>
          <w:szCs w:val="20"/>
        </w:rPr>
        <w:t>n they funded non-government group homes. For example, the cost per user in government group homes in Queensland was $268,052 but only $135,303 for non-government providers. In Victoria, the cost</w:t>
      </w:r>
      <w:r w:rsidR="000B2899" w:rsidRPr="000F3C0C">
        <w:rPr>
          <w:rFonts w:cs="Arial"/>
          <w:szCs w:val="20"/>
        </w:rPr>
        <w:t xml:space="preserve"> was </w:t>
      </w:r>
      <w:r w:rsidRPr="000F3C0C">
        <w:rPr>
          <w:rFonts w:cs="Arial"/>
          <w:szCs w:val="20"/>
        </w:rPr>
        <w:t>$141,543 for government-run group homes but only $84,937 for non-government run group homes. On average, the Queensland government was funding users of its own group homes at more than three times what the Victorian Government was funding users of non-government group homes. The disparities in funding were substantial.</w:t>
      </w:r>
    </w:p>
    <w:p w:rsidR="00CC6B12" w:rsidRPr="000F3C0C" w:rsidRDefault="00CC6B12" w:rsidP="000F3C0C">
      <w:pPr>
        <w:ind w:left="0" w:firstLine="0"/>
        <w:rPr>
          <w:rFonts w:cs="Arial"/>
          <w:szCs w:val="20"/>
        </w:rPr>
      </w:pPr>
      <w:r w:rsidRPr="000F3C0C">
        <w:rPr>
          <w:rFonts w:cs="Arial"/>
          <w:szCs w:val="20"/>
        </w:rPr>
        <w:t xml:space="preserve">Across Australia, 31.7 per cent of users of accommodation services </w:t>
      </w:r>
      <w:r w:rsidR="00915A7E" w:rsidRPr="000F3C0C">
        <w:rPr>
          <w:rFonts w:cs="Arial"/>
          <w:szCs w:val="20"/>
        </w:rPr>
        <w:t xml:space="preserve">in 2012–13 </w:t>
      </w:r>
      <w:r w:rsidRPr="000F3C0C">
        <w:rPr>
          <w:rFonts w:cs="Arial"/>
          <w:szCs w:val="20"/>
        </w:rPr>
        <w:t>lived in accommodation that was run by government, with this being as high as 48.7 per cent in Victoria.</w:t>
      </w:r>
    </w:p>
    <w:p w:rsidR="00CC6B12" w:rsidRPr="000F3C0C" w:rsidRDefault="00CC6B12" w:rsidP="000F3C0C">
      <w:pPr>
        <w:ind w:left="0" w:firstLine="0"/>
        <w:rPr>
          <w:rFonts w:cs="Arial"/>
          <w:szCs w:val="20"/>
        </w:rPr>
      </w:pPr>
      <w:r w:rsidRPr="000F3C0C">
        <w:rPr>
          <w:rFonts w:cs="Arial"/>
          <w:szCs w:val="20"/>
        </w:rPr>
        <w:t xml:space="preserve">In the absence of data that separates group home users from all accommodation users, the following table </w:t>
      </w:r>
      <w:r w:rsidR="00915A7E" w:rsidRPr="000F3C0C">
        <w:rPr>
          <w:rFonts w:cs="Arial"/>
          <w:szCs w:val="20"/>
        </w:rPr>
        <w:t xml:space="preserve">helps </w:t>
      </w:r>
      <w:r w:rsidRPr="000F3C0C">
        <w:rPr>
          <w:rFonts w:cs="Arial"/>
          <w:szCs w:val="20"/>
        </w:rPr>
        <w:t>paints a picture of a jurisdiction’s commitment to community living</w:t>
      </w:r>
      <w:r w:rsidR="000F3C0C">
        <w:rPr>
          <w:rFonts w:cs="Arial"/>
          <w:szCs w:val="20"/>
        </w:rPr>
        <w:t xml:space="preserve">. </w:t>
      </w:r>
      <w:r w:rsidR="000F3C0C" w:rsidRPr="00785C5B">
        <w:rPr>
          <w:rFonts w:cs="Arial"/>
        </w:rPr>
        <w:t>‘Access to community accommodation and care services’ is an indicator of governments’ objective to assist people with disability to live as valued and participating members of the community. Governments provide or fund accommodation support services to people with disability in institutional/residential settings and through community accommodation and care services. Institutional or residential accommodation support services are provided in both institutions and hostels. Community accommodation and care services are provided in group homes and other community settings. The services provided in other community settings are attendant care/personal care, in home accommodation support, alternative family placement and other accommodation support.</w:t>
      </w:r>
      <w:r w:rsidRPr="000F3C0C">
        <w:rPr>
          <w:rFonts w:cs="Arial"/>
          <w:szCs w:val="20"/>
        </w:rPr>
        <w:t xml:space="preserve"> </w:t>
      </w:r>
    </w:p>
    <w:p w:rsidR="00286C5F" w:rsidRDefault="00286C5F" w:rsidP="000F3C0C">
      <w:pPr>
        <w:ind w:left="0" w:firstLine="0"/>
        <w:rPr>
          <w:rFonts w:cs="Arial"/>
          <w:lang w:val="en"/>
        </w:rPr>
      </w:pPr>
      <w:r>
        <w:rPr>
          <w:rFonts w:cs="Arial"/>
          <w:lang w:val="en"/>
        </w:rPr>
        <w:t>At this time, Tasmania and NSW still had a significant proportion of accommodation users living in institutions, as did Queensland and South Australia. The other states had reached proportions of less than 5 per cent (the Australian average was 9.9 per cent of accommodation users lived in/used services other than community accommodation or care services).</w:t>
      </w:r>
      <w:r w:rsidR="00D77281">
        <w:rPr>
          <w:rFonts w:cs="Arial"/>
          <w:lang w:val="en"/>
        </w:rPr>
        <w:t xml:space="preserve"> Victoria closed its last institution in late 2019.</w:t>
      </w:r>
    </w:p>
    <w:p w:rsidR="00E27FB1" w:rsidRDefault="00E27FB1" w:rsidP="00E27FB1">
      <w:pPr>
        <w:keepNext/>
        <w:ind w:left="0" w:firstLine="0"/>
        <w:rPr>
          <w:rFonts w:cs="Arial"/>
          <w:b/>
          <w:lang w:val="en-US"/>
        </w:rPr>
      </w:pPr>
      <w:r w:rsidRPr="000F3C0C">
        <w:rPr>
          <w:rFonts w:cs="Arial"/>
          <w:b/>
          <w:lang w:val="en-US"/>
        </w:rPr>
        <w:t>Users of NDA community accommodation and care services as a proportion of all accommodation support service users</w:t>
      </w:r>
    </w:p>
    <w:p w:rsidR="00E27FB1" w:rsidRDefault="00E27FB1" w:rsidP="00E27FB1">
      <w:pPr>
        <w:keepNext/>
        <w:spacing w:before="120" w:after="120"/>
        <w:ind w:left="0" w:firstLine="0"/>
        <w:rPr>
          <w:rFonts w:cs="Arial"/>
          <w:lang w:val="en-US"/>
        </w:rPr>
      </w:pPr>
      <w:r>
        <w:rPr>
          <w:rFonts w:cs="Arial"/>
          <w:lang w:val="en-US"/>
        </w:rPr>
        <w:t>New South Wales: 87.2 percent</w:t>
      </w:r>
    </w:p>
    <w:p w:rsidR="00E27FB1" w:rsidRDefault="00E27FB1" w:rsidP="00E27FB1">
      <w:pPr>
        <w:spacing w:before="120" w:after="120"/>
        <w:ind w:left="0" w:firstLine="0"/>
        <w:rPr>
          <w:rFonts w:cs="Arial"/>
          <w:lang w:val="en-US"/>
        </w:rPr>
      </w:pPr>
      <w:r>
        <w:rPr>
          <w:rFonts w:cs="Arial"/>
          <w:lang w:val="en-US"/>
        </w:rPr>
        <w:t>Victoria: 95.3 percent</w:t>
      </w:r>
    </w:p>
    <w:p w:rsidR="00E27FB1" w:rsidRDefault="00E27FB1" w:rsidP="00E27FB1">
      <w:pPr>
        <w:spacing w:before="120" w:after="120"/>
        <w:ind w:left="0" w:firstLine="0"/>
        <w:rPr>
          <w:rFonts w:cs="Arial"/>
          <w:lang w:val="en-US"/>
        </w:rPr>
      </w:pPr>
      <w:r>
        <w:rPr>
          <w:rFonts w:cs="Arial"/>
          <w:lang w:val="en-US"/>
        </w:rPr>
        <w:t>Queensland: 89.3 percent</w:t>
      </w:r>
    </w:p>
    <w:p w:rsidR="00E27FB1" w:rsidRDefault="00E27FB1" w:rsidP="00E27FB1">
      <w:pPr>
        <w:spacing w:before="120" w:after="120"/>
        <w:ind w:left="0" w:firstLine="0"/>
        <w:rPr>
          <w:rFonts w:cs="Arial"/>
          <w:lang w:val="en"/>
        </w:rPr>
      </w:pPr>
      <w:r>
        <w:rPr>
          <w:rFonts w:cs="Arial"/>
          <w:lang w:val="en"/>
        </w:rPr>
        <w:t>Western Australia: 95.7 percent</w:t>
      </w:r>
    </w:p>
    <w:p w:rsidR="00E27FB1" w:rsidRDefault="00E27FB1" w:rsidP="00E27FB1">
      <w:pPr>
        <w:spacing w:before="120" w:after="120"/>
        <w:ind w:left="0" w:firstLine="0"/>
        <w:rPr>
          <w:rFonts w:cs="Arial"/>
          <w:lang w:val="en"/>
        </w:rPr>
      </w:pPr>
      <w:r>
        <w:rPr>
          <w:rFonts w:cs="Arial"/>
          <w:lang w:val="en"/>
        </w:rPr>
        <w:t>South Australia: 90.5 percent</w:t>
      </w:r>
    </w:p>
    <w:p w:rsidR="00E27FB1" w:rsidRDefault="00E27FB1" w:rsidP="00E27FB1">
      <w:pPr>
        <w:spacing w:before="120" w:after="120"/>
        <w:ind w:left="0" w:firstLine="0"/>
        <w:rPr>
          <w:rFonts w:cs="Arial"/>
          <w:lang w:val="en"/>
        </w:rPr>
      </w:pPr>
      <w:r>
        <w:rPr>
          <w:rFonts w:cs="Arial"/>
          <w:lang w:val="en"/>
        </w:rPr>
        <w:t>Tasmania: 86.8 percent</w:t>
      </w:r>
    </w:p>
    <w:p w:rsidR="00E27FB1" w:rsidRDefault="00E27FB1" w:rsidP="00E27FB1">
      <w:pPr>
        <w:spacing w:before="120" w:after="120"/>
        <w:ind w:left="0" w:firstLine="0"/>
        <w:rPr>
          <w:rFonts w:cs="Arial"/>
          <w:lang w:val="en"/>
        </w:rPr>
      </w:pPr>
      <w:r>
        <w:rPr>
          <w:rFonts w:cs="Arial"/>
          <w:lang w:val="en"/>
        </w:rPr>
        <w:t>Australian Capital Territory: 100 percent</w:t>
      </w:r>
    </w:p>
    <w:p w:rsidR="00E27FB1" w:rsidRDefault="00E27FB1" w:rsidP="00E27FB1">
      <w:pPr>
        <w:spacing w:before="120" w:after="120"/>
        <w:ind w:left="0" w:firstLine="0"/>
        <w:rPr>
          <w:rFonts w:cs="Arial"/>
          <w:lang w:val="en"/>
        </w:rPr>
      </w:pPr>
      <w:r>
        <w:rPr>
          <w:rFonts w:cs="Arial"/>
          <w:lang w:val="en"/>
        </w:rPr>
        <w:t>Northern Territory: 100 percent</w:t>
      </w:r>
    </w:p>
    <w:p w:rsidR="00E27FB1" w:rsidRPr="00E27FB1" w:rsidRDefault="00E27FB1" w:rsidP="00E27FB1">
      <w:pPr>
        <w:spacing w:before="120"/>
        <w:ind w:left="0" w:firstLine="0"/>
        <w:rPr>
          <w:rFonts w:cs="Arial"/>
          <w:lang w:val="en"/>
        </w:rPr>
      </w:pPr>
      <w:r>
        <w:rPr>
          <w:rFonts w:cs="Arial"/>
          <w:lang w:val="en"/>
        </w:rPr>
        <w:t>Australia: 91 percent</w:t>
      </w:r>
    </w:p>
    <w:p w:rsidR="00B505BF" w:rsidRDefault="00D23598" w:rsidP="000F3C0C">
      <w:pPr>
        <w:ind w:left="0" w:firstLine="0"/>
        <w:rPr>
          <w:rFonts w:cs="Arial"/>
        </w:rPr>
      </w:pPr>
      <w:r w:rsidRPr="000F3C0C">
        <w:rPr>
          <w:rFonts w:cs="Arial"/>
        </w:rPr>
        <w:t>Under the</w:t>
      </w:r>
      <w:r w:rsidR="00E7166A" w:rsidRPr="000F3C0C">
        <w:rPr>
          <w:rFonts w:cs="Arial"/>
        </w:rPr>
        <w:t xml:space="preserve"> NDIS</w:t>
      </w:r>
      <w:r w:rsidR="00286C5F" w:rsidRPr="000F3C0C">
        <w:rPr>
          <w:rFonts w:cs="Arial"/>
        </w:rPr>
        <w:t>,</w:t>
      </w:r>
      <w:r w:rsidR="00E7166A" w:rsidRPr="000F3C0C">
        <w:rPr>
          <w:rFonts w:cs="Arial"/>
        </w:rPr>
        <w:t xml:space="preserve"> </w:t>
      </w:r>
      <w:r w:rsidRPr="000F3C0C">
        <w:rPr>
          <w:rFonts w:cs="Arial"/>
        </w:rPr>
        <w:t xml:space="preserve">payments flowing to group homes take two forms: one for the </w:t>
      </w:r>
      <w:r w:rsidR="00E7166A" w:rsidRPr="000F3C0C">
        <w:rPr>
          <w:rFonts w:cs="Arial"/>
        </w:rPr>
        <w:t xml:space="preserve">bricks and mortar </w:t>
      </w:r>
      <w:r w:rsidRPr="000F3C0C">
        <w:rPr>
          <w:rFonts w:cs="Arial"/>
        </w:rPr>
        <w:t xml:space="preserve">which supplements the rent paid by participant </w:t>
      </w:r>
      <w:r w:rsidR="00E7166A" w:rsidRPr="000F3C0C">
        <w:rPr>
          <w:rFonts w:cs="Arial"/>
        </w:rPr>
        <w:t>(a Specialist Disability Accommodation or SDA payment) and support fun</w:t>
      </w:r>
      <w:r w:rsidR="000B2899" w:rsidRPr="000F3C0C">
        <w:rPr>
          <w:rFonts w:cs="Arial"/>
        </w:rPr>
        <w:t>d</w:t>
      </w:r>
      <w:r w:rsidR="00E7166A" w:rsidRPr="000F3C0C">
        <w:rPr>
          <w:rFonts w:cs="Arial"/>
        </w:rPr>
        <w:t>ing</w:t>
      </w:r>
      <w:r w:rsidR="00785C5B" w:rsidRPr="000F3C0C">
        <w:rPr>
          <w:rFonts w:cs="Arial"/>
        </w:rPr>
        <w:t xml:space="preserve"> (Supported Independent Living or SIL)</w:t>
      </w:r>
      <w:r w:rsidR="00E7166A" w:rsidRPr="000F3C0C">
        <w:rPr>
          <w:rFonts w:cs="Arial"/>
        </w:rPr>
        <w:t xml:space="preserve">. </w:t>
      </w:r>
      <w:r w:rsidR="000F087E" w:rsidRPr="000F3C0C">
        <w:rPr>
          <w:rFonts w:cs="Arial"/>
        </w:rPr>
        <w:t xml:space="preserve">Data on the enrolment of properties for </w:t>
      </w:r>
      <w:r w:rsidR="00E7166A" w:rsidRPr="000F3C0C">
        <w:rPr>
          <w:rFonts w:cs="Arial"/>
        </w:rPr>
        <w:t>SDA</w:t>
      </w:r>
      <w:r w:rsidR="00377084" w:rsidRPr="000F3C0C">
        <w:rPr>
          <w:rFonts w:cs="Arial"/>
        </w:rPr>
        <w:t xml:space="preserve"> helps to flesh </w:t>
      </w:r>
      <w:r w:rsidR="000F087E" w:rsidRPr="000F3C0C">
        <w:rPr>
          <w:rFonts w:cs="Arial"/>
        </w:rPr>
        <w:t>out the picture of group homes</w:t>
      </w:r>
      <w:r w:rsidR="00377084" w:rsidRPr="000F3C0C">
        <w:rPr>
          <w:rFonts w:cs="Arial"/>
        </w:rPr>
        <w:t xml:space="preserve"> prior to the NDIS</w:t>
      </w:r>
      <w:r w:rsidR="000F087E" w:rsidRPr="000F3C0C">
        <w:rPr>
          <w:rFonts w:cs="Arial"/>
        </w:rPr>
        <w:t>. In Quarterly Report</w:t>
      </w:r>
      <w:r w:rsidR="00B505BF" w:rsidRPr="000F3C0C">
        <w:rPr>
          <w:rFonts w:cs="Arial"/>
        </w:rPr>
        <w:t>s</w:t>
      </w:r>
      <w:r w:rsidR="000F087E" w:rsidRPr="000F3C0C">
        <w:rPr>
          <w:rFonts w:cs="Arial"/>
        </w:rPr>
        <w:t xml:space="preserve">, the NDIA </w:t>
      </w:r>
      <w:r w:rsidR="00B505BF" w:rsidRPr="000F3C0C">
        <w:rPr>
          <w:rFonts w:cs="Arial"/>
        </w:rPr>
        <w:t xml:space="preserve">provides information about </w:t>
      </w:r>
      <w:r w:rsidR="00E7166A" w:rsidRPr="000F3C0C">
        <w:rPr>
          <w:rFonts w:cs="Arial"/>
        </w:rPr>
        <w:t>SDA properties.</w:t>
      </w:r>
      <w:r w:rsidR="00B505BF" w:rsidRPr="000F3C0C">
        <w:rPr>
          <w:rFonts w:cs="Arial"/>
        </w:rPr>
        <w:t xml:space="preserve"> ‘Existing’ and ‘legacy’ </w:t>
      </w:r>
      <w:r w:rsidR="00377084" w:rsidRPr="000F3C0C">
        <w:rPr>
          <w:rFonts w:cs="Arial"/>
        </w:rPr>
        <w:t xml:space="preserve">categories </w:t>
      </w:r>
      <w:r w:rsidR="00B505BF" w:rsidRPr="000F3C0C">
        <w:rPr>
          <w:rFonts w:cs="Arial"/>
        </w:rPr>
        <w:t xml:space="preserve">can be used as a proxy for the group homes that existed prior to the NDIS (noting that some properties </w:t>
      </w:r>
      <w:r w:rsidR="00897E1A" w:rsidRPr="000F3C0C">
        <w:rPr>
          <w:rFonts w:cs="Arial"/>
        </w:rPr>
        <w:t xml:space="preserve">that were being used as group homes </w:t>
      </w:r>
      <w:r w:rsidR="00B505BF" w:rsidRPr="000F3C0C">
        <w:rPr>
          <w:rFonts w:cs="Arial"/>
        </w:rPr>
        <w:t>will not have been enrolled as SDA dwelling</w:t>
      </w:r>
      <w:r w:rsidR="00897E1A" w:rsidRPr="000F3C0C">
        <w:rPr>
          <w:rFonts w:cs="Arial"/>
        </w:rPr>
        <w:t>s</w:t>
      </w:r>
      <w:r w:rsidR="00B505BF" w:rsidRPr="000F3C0C">
        <w:rPr>
          <w:rFonts w:cs="Arial"/>
        </w:rPr>
        <w:t xml:space="preserve"> but the numbers should be relatively small).</w:t>
      </w:r>
      <w:r w:rsidR="00E27FB1">
        <w:rPr>
          <w:rFonts w:cs="Arial"/>
        </w:rPr>
        <w:t xml:space="preserve">  [</w:t>
      </w:r>
      <w:hyperlink r:id="rId9" w:history="1">
        <w:r w:rsidR="00E27FB1" w:rsidRPr="00E27FB1">
          <w:rPr>
            <w:rStyle w:val="Hyperlink"/>
            <w:rFonts w:cs="Arial"/>
          </w:rPr>
          <w:t>NDIA, 2020 Report to the COAG Disability Reform Council for Q2 of Y7</w:t>
        </w:r>
      </w:hyperlink>
      <w:r w:rsidR="00E27FB1">
        <w:rPr>
          <w:rFonts w:cs="Arial"/>
        </w:rPr>
        <w:t> Appendices</w:t>
      </w:r>
      <w:r w:rsidR="00E27FB1" w:rsidRPr="00785C5B">
        <w:rPr>
          <w:rFonts w:cs="Arial"/>
        </w:rPr>
        <w:t>, pp.431-444</w:t>
      </w:r>
      <w:r w:rsidR="00E27FB1">
        <w:rPr>
          <w:rFonts w:cs="Arial"/>
        </w:rPr>
        <w:t>].</w:t>
      </w:r>
      <w:r w:rsidR="00377084" w:rsidRPr="000F3C0C">
        <w:rPr>
          <w:rFonts w:cs="Arial"/>
        </w:rPr>
        <w:t xml:space="preserve"> </w:t>
      </w:r>
      <w:r w:rsidR="00E7166A" w:rsidRPr="000F3C0C">
        <w:rPr>
          <w:rFonts w:cs="Arial"/>
        </w:rPr>
        <w:t>‘</w:t>
      </w:r>
      <w:r w:rsidR="00492FCB" w:rsidRPr="000F3C0C">
        <w:rPr>
          <w:rFonts w:cs="Arial"/>
        </w:rPr>
        <w:t>Existing</w:t>
      </w:r>
      <w:r w:rsidR="00E7166A" w:rsidRPr="000F3C0C">
        <w:rPr>
          <w:rFonts w:cs="Arial"/>
        </w:rPr>
        <w:t>’</w:t>
      </w:r>
      <w:r w:rsidR="00492FCB" w:rsidRPr="000F3C0C">
        <w:rPr>
          <w:rFonts w:cs="Arial"/>
        </w:rPr>
        <w:t xml:space="preserve"> dwelling</w:t>
      </w:r>
      <w:r w:rsidR="00E7166A" w:rsidRPr="000F3C0C">
        <w:rPr>
          <w:rFonts w:cs="Arial"/>
        </w:rPr>
        <w:t>s</w:t>
      </w:r>
      <w:r w:rsidR="00492FCB" w:rsidRPr="000F3C0C">
        <w:rPr>
          <w:rFonts w:cs="Arial"/>
        </w:rPr>
        <w:t xml:space="preserve"> </w:t>
      </w:r>
      <w:r w:rsidR="00E7166A" w:rsidRPr="000F3C0C">
        <w:rPr>
          <w:rFonts w:cs="Arial"/>
        </w:rPr>
        <w:t xml:space="preserve">must </w:t>
      </w:r>
      <w:r w:rsidR="00492FCB" w:rsidRPr="000F3C0C">
        <w:rPr>
          <w:rFonts w:cs="Arial"/>
        </w:rPr>
        <w:t xml:space="preserve">accommodate </w:t>
      </w:r>
      <w:r w:rsidR="00B34F96" w:rsidRPr="000F3C0C">
        <w:rPr>
          <w:rFonts w:cs="Arial"/>
        </w:rPr>
        <w:t>five</w:t>
      </w:r>
      <w:r w:rsidR="00492FCB" w:rsidRPr="000F3C0C">
        <w:rPr>
          <w:rFonts w:cs="Arial"/>
        </w:rPr>
        <w:t xml:space="preserve"> or </w:t>
      </w:r>
      <w:r w:rsidR="00B34F96" w:rsidRPr="000F3C0C">
        <w:rPr>
          <w:rFonts w:cs="Arial"/>
        </w:rPr>
        <w:t xml:space="preserve">fewer </w:t>
      </w:r>
      <w:r w:rsidR="00492FCB" w:rsidRPr="000F3C0C">
        <w:rPr>
          <w:rFonts w:cs="Arial"/>
        </w:rPr>
        <w:t>residents while l</w:t>
      </w:r>
      <w:r w:rsidR="00377084" w:rsidRPr="000F3C0C">
        <w:rPr>
          <w:rFonts w:cs="Arial"/>
        </w:rPr>
        <w:t xml:space="preserve">egacy dwellings accommodate </w:t>
      </w:r>
      <w:r w:rsidR="00B34F96" w:rsidRPr="000F3C0C">
        <w:rPr>
          <w:rFonts w:cs="Arial"/>
        </w:rPr>
        <w:t>six</w:t>
      </w:r>
      <w:r w:rsidR="00377084" w:rsidRPr="000F3C0C">
        <w:rPr>
          <w:rFonts w:cs="Arial"/>
        </w:rPr>
        <w:t xml:space="preserve"> or more</w:t>
      </w:r>
      <w:r w:rsidR="00E7166A" w:rsidRPr="000F3C0C">
        <w:rPr>
          <w:rFonts w:cs="Arial"/>
        </w:rPr>
        <w:t xml:space="preserve"> (this will include some remaining institutions).</w:t>
      </w:r>
    </w:p>
    <w:p w:rsidR="00E27FB1" w:rsidRDefault="00E27FB1" w:rsidP="00E27FB1">
      <w:pPr>
        <w:keepNext/>
        <w:ind w:left="0" w:firstLine="0"/>
        <w:rPr>
          <w:rFonts w:cs="Arial"/>
          <w:b/>
          <w:lang w:val="en-US"/>
        </w:rPr>
      </w:pPr>
      <w:r>
        <w:rPr>
          <w:rFonts w:cs="Arial"/>
          <w:b/>
          <w:lang w:val="en-US"/>
        </w:rPr>
        <w:t>Numbers of existing and legacy properties enrolled for SDA</w:t>
      </w:r>
    </w:p>
    <w:p w:rsidR="00E27FB1" w:rsidRDefault="00E27FB1" w:rsidP="00E27FB1">
      <w:pPr>
        <w:keepNext/>
        <w:spacing w:before="120" w:after="120"/>
        <w:ind w:left="0" w:firstLine="0"/>
        <w:rPr>
          <w:rFonts w:cs="Arial"/>
          <w:lang w:val="en-US"/>
        </w:rPr>
      </w:pPr>
      <w:r>
        <w:rPr>
          <w:rFonts w:cs="Arial"/>
          <w:lang w:val="en-US"/>
        </w:rPr>
        <w:t>New South Wales: Existing – 1298; Legacy – 58</w:t>
      </w:r>
    </w:p>
    <w:p w:rsidR="00E27FB1" w:rsidRDefault="00E27FB1" w:rsidP="00E27FB1">
      <w:pPr>
        <w:spacing w:before="120" w:after="120"/>
        <w:ind w:left="0" w:firstLine="0"/>
        <w:rPr>
          <w:rFonts w:cs="Arial"/>
          <w:lang w:val="en-US"/>
        </w:rPr>
      </w:pPr>
      <w:r>
        <w:rPr>
          <w:rFonts w:cs="Arial"/>
          <w:lang w:val="en-US"/>
        </w:rPr>
        <w:t>Victoria: Existing – 363; Legacy – 86</w:t>
      </w:r>
    </w:p>
    <w:p w:rsidR="00E27FB1" w:rsidRDefault="00E27FB1" w:rsidP="00E27FB1">
      <w:pPr>
        <w:spacing w:before="120" w:after="120"/>
        <w:ind w:left="0" w:firstLine="0"/>
        <w:rPr>
          <w:rFonts w:cs="Arial"/>
          <w:lang w:val="en-US"/>
        </w:rPr>
      </w:pPr>
      <w:r>
        <w:rPr>
          <w:rFonts w:cs="Arial"/>
          <w:lang w:val="en-US"/>
        </w:rPr>
        <w:t>Queensland: Existing – 355; Legacy – 37</w:t>
      </w:r>
    </w:p>
    <w:p w:rsidR="00E27FB1" w:rsidRDefault="00E27FB1" w:rsidP="00E27FB1">
      <w:pPr>
        <w:spacing w:before="120" w:after="120"/>
        <w:ind w:left="0" w:firstLine="0"/>
        <w:rPr>
          <w:rFonts w:cs="Arial"/>
          <w:lang w:val="en"/>
        </w:rPr>
      </w:pPr>
      <w:r>
        <w:rPr>
          <w:rFonts w:cs="Arial"/>
          <w:lang w:val="en"/>
        </w:rPr>
        <w:t xml:space="preserve">Western Australia: </w:t>
      </w:r>
      <w:r>
        <w:rPr>
          <w:rFonts w:cs="Arial"/>
          <w:lang w:val="en-US"/>
        </w:rPr>
        <w:t>Existing – 7; Legacy – 0</w:t>
      </w:r>
    </w:p>
    <w:p w:rsidR="00E27FB1" w:rsidRDefault="00E27FB1" w:rsidP="00E27FB1">
      <w:pPr>
        <w:spacing w:before="120" w:after="120"/>
        <w:ind w:left="0" w:firstLine="0"/>
        <w:rPr>
          <w:rFonts w:cs="Arial"/>
          <w:lang w:val="en"/>
        </w:rPr>
      </w:pPr>
      <w:r>
        <w:rPr>
          <w:rFonts w:cs="Arial"/>
          <w:lang w:val="en"/>
        </w:rPr>
        <w:t xml:space="preserve">South Australia: </w:t>
      </w:r>
      <w:r>
        <w:rPr>
          <w:rFonts w:cs="Arial"/>
          <w:lang w:val="en-US"/>
        </w:rPr>
        <w:t>Existing – 877; Legacy – 12</w:t>
      </w:r>
    </w:p>
    <w:p w:rsidR="00E27FB1" w:rsidRDefault="00E27FB1" w:rsidP="00E27FB1">
      <w:pPr>
        <w:spacing w:before="120" w:after="120"/>
        <w:ind w:left="0" w:firstLine="0"/>
        <w:rPr>
          <w:rFonts w:cs="Arial"/>
          <w:lang w:val="en"/>
        </w:rPr>
      </w:pPr>
      <w:r>
        <w:rPr>
          <w:rFonts w:cs="Arial"/>
          <w:lang w:val="en"/>
        </w:rPr>
        <w:t xml:space="preserve">Tasmania: </w:t>
      </w:r>
      <w:r>
        <w:rPr>
          <w:rFonts w:cs="Arial"/>
          <w:lang w:val="en-US"/>
        </w:rPr>
        <w:t>Existing – 26; Legacy – 3</w:t>
      </w:r>
    </w:p>
    <w:p w:rsidR="00E27FB1" w:rsidRDefault="00E27FB1" w:rsidP="00E27FB1">
      <w:pPr>
        <w:spacing w:before="120" w:after="120"/>
        <w:ind w:left="0" w:firstLine="0"/>
        <w:rPr>
          <w:rFonts w:cs="Arial"/>
          <w:lang w:val="en"/>
        </w:rPr>
      </w:pPr>
      <w:r>
        <w:rPr>
          <w:rFonts w:cs="Arial"/>
          <w:lang w:val="en"/>
        </w:rPr>
        <w:t xml:space="preserve">Australian Capital Territory: </w:t>
      </w:r>
      <w:r>
        <w:rPr>
          <w:rFonts w:cs="Arial"/>
          <w:lang w:val="en-US"/>
        </w:rPr>
        <w:t>Existing – 8; Legacy – 0</w:t>
      </w:r>
    </w:p>
    <w:p w:rsidR="00E27FB1" w:rsidRDefault="00E27FB1" w:rsidP="00E27FB1">
      <w:pPr>
        <w:spacing w:before="120" w:after="120"/>
        <w:ind w:left="0" w:firstLine="0"/>
        <w:rPr>
          <w:rFonts w:cs="Arial"/>
          <w:lang w:val="en"/>
        </w:rPr>
      </w:pPr>
      <w:r>
        <w:rPr>
          <w:rFonts w:cs="Arial"/>
          <w:lang w:val="en"/>
        </w:rPr>
        <w:t xml:space="preserve">Northern Territory: </w:t>
      </w:r>
      <w:r>
        <w:rPr>
          <w:rFonts w:cs="Arial"/>
          <w:lang w:val="en-US"/>
        </w:rPr>
        <w:t>Existing – 18; Legacy – 3</w:t>
      </w:r>
    </w:p>
    <w:p w:rsidR="00E27FB1" w:rsidRPr="00E27FB1" w:rsidRDefault="00E27FB1" w:rsidP="00E27FB1">
      <w:pPr>
        <w:spacing w:before="120" w:after="120"/>
        <w:ind w:left="0" w:firstLine="0"/>
        <w:rPr>
          <w:rFonts w:cs="Arial"/>
          <w:lang w:val="en-US"/>
        </w:rPr>
      </w:pPr>
      <w:r>
        <w:rPr>
          <w:rFonts w:cs="Arial"/>
          <w:lang w:val="en"/>
        </w:rPr>
        <w:t xml:space="preserve">Australia: </w:t>
      </w:r>
      <w:r>
        <w:rPr>
          <w:rFonts w:cs="Arial"/>
          <w:lang w:val="en-US"/>
        </w:rPr>
        <w:t>Existing – 2745; Legacy – 196</w:t>
      </w:r>
    </w:p>
    <w:p w:rsidR="00CC6B12" w:rsidRPr="00E27FB1" w:rsidRDefault="00377084" w:rsidP="00E27FB1">
      <w:pPr>
        <w:keepLines/>
        <w:ind w:left="0" w:firstLine="0"/>
        <w:rPr>
          <w:rFonts w:cs="Arial"/>
        </w:rPr>
      </w:pPr>
      <w:r w:rsidRPr="00E27FB1">
        <w:rPr>
          <w:rFonts w:cs="Arial"/>
        </w:rPr>
        <w:t xml:space="preserve">Note these numbers exclude new </w:t>
      </w:r>
      <w:r w:rsidR="00897E1A" w:rsidRPr="00E27FB1">
        <w:rPr>
          <w:rFonts w:cs="Arial"/>
        </w:rPr>
        <w:t>builds</w:t>
      </w:r>
      <w:r w:rsidRPr="00E27FB1">
        <w:rPr>
          <w:rFonts w:cs="Arial"/>
        </w:rPr>
        <w:t xml:space="preserve"> enrolled as SDA </w:t>
      </w:r>
      <w:r w:rsidR="00897E1A" w:rsidRPr="00E27FB1">
        <w:rPr>
          <w:rFonts w:cs="Arial"/>
        </w:rPr>
        <w:t>dwellings</w:t>
      </w:r>
      <w:r w:rsidR="00A7797B" w:rsidRPr="00E27FB1">
        <w:rPr>
          <w:rFonts w:cs="Arial"/>
        </w:rPr>
        <w:t xml:space="preserve"> and do </w:t>
      </w:r>
      <w:r w:rsidR="00897E1A" w:rsidRPr="00E27FB1">
        <w:rPr>
          <w:rFonts w:cs="Arial"/>
        </w:rPr>
        <w:t>not include accommodation being provided under in-kind arrangements</w:t>
      </w:r>
      <w:r w:rsidR="00785C5B" w:rsidRPr="00E27FB1">
        <w:rPr>
          <w:rFonts w:cs="Arial"/>
        </w:rPr>
        <w:t xml:space="preserve"> by state or territory governments</w:t>
      </w:r>
      <w:r w:rsidRPr="00E27FB1">
        <w:rPr>
          <w:rFonts w:cs="Arial"/>
        </w:rPr>
        <w:t>.</w:t>
      </w:r>
      <w:r w:rsidR="005F188C" w:rsidRPr="00E27FB1">
        <w:rPr>
          <w:rFonts w:cs="Arial"/>
        </w:rPr>
        <w:t xml:space="preserve"> While we do not know where vacancies exist, it </w:t>
      </w:r>
      <w:r w:rsidR="00AB2461" w:rsidRPr="00E27FB1">
        <w:rPr>
          <w:rFonts w:cs="Arial"/>
        </w:rPr>
        <w:t>should be</w:t>
      </w:r>
      <w:r w:rsidR="005F188C" w:rsidRPr="00E27FB1">
        <w:rPr>
          <w:rFonts w:cs="Arial"/>
        </w:rPr>
        <w:t xml:space="preserve"> safe to assume that at least 2000 people with significant disability remain living in </w:t>
      </w:r>
      <w:r w:rsidR="00E7166A" w:rsidRPr="00E27FB1">
        <w:rPr>
          <w:rFonts w:cs="Arial"/>
        </w:rPr>
        <w:t xml:space="preserve">large </w:t>
      </w:r>
      <w:r w:rsidR="005F188C" w:rsidRPr="00E27FB1">
        <w:rPr>
          <w:rFonts w:cs="Arial"/>
        </w:rPr>
        <w:t>dwellings</w:t>
      </w:r>
      <w:r w:rsidR="00E7166A" w:rsidRPr="00E27FB1">
        <w:rPr>
          <w:rFonts w:cs="Arial"/>
        </w:rPr>
        <w:t xml:space="preserve"> or </w:t>
      </w:r>
      <w:r w:rsidR="005F188C" w:rsidRPr="00E27FB1">
        <w:rPr>
          <w:rFonts w:cs="Arial"/>
        </w:rPr>
        <w:t>institutions</w:t>
      </w:r>
      <w:r w:rsidR="00E7166A" w:rsidRPr="00E27FB1">
        <w:rPr>
          <w:rFonts w:cs="Arial"/>
        </w:rPr>
        <w:t>.</w:t>
      </w:r>
      <w:r w:rsidR="005F188C" w:rsidRPr="00E27FB1">
        <w:rPr>
          <w:rFonts w:cs="Arial"/>
        </w:rPr>
        <w:t xml:space="preserve"> Deinstitutionalisation </w:t>
      </w:r>
      <w:r w:rsidR="00B16381" w:rsidRPr="00E27FB1">
        <w:rPr>
          <w:rFonts w:cs="Arial"/>
        </w:rPr>
        <w:t>is not yet complete.</w:t>
      </w:r>
    </w:p>
    <w:p w:rsidR="005F188C" w:rsidRPr="00E27FB1" w:rsidRDefault="005F188C" w:rsidP="000F3C0C">
      <w:pPr>
        <w:ind w:left="0" w:firstLine="0"/>
        <w:rPr>
          <w:rFonts w:cs="Arial"/>
        </w:rPr>
      </w:pPr>
      <w:r w:rsidRPr="00E27FB1">
        <w:rPr>
          <w:rFonts w:cs="Arial"/>
        </w:rPr>
        <w:t xml:space="preserve">Policy under the NDIS will help drive the demise of dwellings accommodating </w:t>
      </w:r>
      <w:r w:rsidR="001F7465" w:rsidRPr="00E27FB1">
        <w:rPr>
          <w:rFonts w:cs="Arial"/>
        </w:rPr>
        <w:t>six</w:t>
      </w:r>
      <w:r w:rsidRPr="00E27FB1">
        <w:rPr>
          <w:rFonts w:cs="Arial"/>
        </w:rPr>
        <w:t xml:space="preserve"> or more people as SDA payments for these are being phased out. How</w:t>
      </w:r>
      <w:r w:rsidR="00285A64" w:rsidRPr="00E27FB1">
        <w:rPr>
          <w:rFonts w:cs="Arial"/>
        </w:rPr>
        <w:t>ever, how</w:t>
      </w:r>
      <w:r w:rsidRPr="00E27FB1">
        <w:rPr>
          <w:rFonts w:cs="Arial"/>
        </w:rPr>
        <w:t xml:space="preserve"> long </w:t>
      </w:r>
      <w:r w:rsidR="00285A64" w:rsidRPr="00E27FB1">
        <w:rPr>
          <w:rFonts w:cs="Arial"/>
        </w:rPr>
        <w:t>this will take is unknown as dwellings can continue to operate without SDA payments.</w:t>
      </w:r>
      <w:r w:rsidRPr="00E27FB1">
        <w:rPr>
          <w:rFonts w:cs="Arial"/>
        </w:rPr>
        <w:t xml:space="preserve"> </w:t>
      </w:r>
    </w:p>
    <w:p w:rsidR="00B505BF" w:rsidRPr="00E27FB1" w:rsidRDefault="00B505BF" w:rsidP="000F3C0C">
      <w:pPr>
        <w:ind w:left="0" w:firstLine="0"/>
        <w:rPr>
          <w:rFonts w:cs="Arial"/>
        </w:rPr>
      </w:pPr>
      <w:r w:rsidRPr="00E27FB1">
        <w:rPr>
          <w:rFonts w:cs="Arial"/>
        </w:rPr>
        <w:t xml:space="preserve">As sketched briefly here, there </w:t>
      </w:r>
      <w:r w:rsidR="00A34CB6" w:rsidRPr="00E27FB1">
        <w:rPr>
          <w:rFonts w:cs="Arial"/>
        </w:rPr>
        <w:t>has been</w:t>
      </w:r>
      <w:r w:rsidRPr="00E27FB1">
        <w:rPr>
          <w:rFonts w:cs="Arial"/>
        </w:rPr>
        <w:t xml:space="preserve"> substantial variation in the provision of group homes across Australia.</w:t>
      </w:r>
      <w:r w:rsidR="005F188C" w:rsidRPr="00E27FB1">
        <w:rPr>
          <w:rFonts w:cs="Arial"/>
        </w:rPr>
        <w:t xml:space="preserve"> Substantial </w:t>
      </w:r>
      <w:r w:rsidR="00D5160A" w:rsidRPr="00E27FB1">
        <w:rPr>
          <w:rFonts w:cs="Arial"/>
        </w:rPr>
        <w:t>differences</w:t>
      </w:r>
      <w:r w:rsidR="005F188C" w:rsidRPr="00E27FB1">
        <w:rPr>
          <w:rFonts w:cs="Arial"/>
        </w:rPr>
        <w:t xml:space="preserve"> remains </w:t>
      </w:r>
      <w:r w:rsidR="00A34CB6" w:rsidRPr="00E27FB1">
        <w:rPr>
          <w:rFonts w:cs="Arial"/>
        </w:rPr>
        <w:t xml:space="preserve">even </w:t>
      </w:r>
      <w:r w:rsidR="005F188C" w:rsidRPr="00E27FB1">
        <w:rPr>
          <w:rFonts w:cs="Arial"/>
        </w:rPr>
        <w:t>as the NDIS nears full implementation.</w:t>
      </w:r>
    </w:p>
    <w:p w:rsidR="00B765BA" w:rsidRPr="00E27FB1" w:rsidRDefault="00E3636D" w:rsidP="000F3C0C">
      <w:pPr>
        <w:ind w:left="0" w:firstLine="0"/>
        <w:rPr>
          <w:rFonts w:cs="Arial"/>
        </w:rPr>
      </w:pPr>
      <w:r w:rsidRPr="00E27FB1">
        <w:rPr>
          <w:rFonts w:cs="Arial"/>
        </w:rPr>
        <w:t>It is difficult to get a picture of the quality of existing houses being used as group homes</w:t>
      </w:r>
      <w:r w:rsidR="003753F4" w:rsidRPr="00E27FB1">
        <w:rPr>
          <w:rFonts w:cs="Arial"/>
        </w:rPr>
        <w:t xml:space="preserve"> but it is safe to assume that a sizable proportion is old and not well-suited to the purpose it is being used for</w:t>
      </w:r>
      <w:r w:rsidRPr="00E27FB1">
        <w:rPr>
          <w:rFonts w:cs="Arial"/>
        </w:rPr>
        <w:t>.</w:t>
      </w:r>
      <w:r w:rsidR="003753F4" w:rsidRPr="00E27FB1">
        <w:rPr>
          <w:rFonts w:cs="Arial"/>
        </w:rPr>
        <w:t xml:space="preserve"> SDA funding will generate </w:t>
      </w:r>
      <w:r w:rsidR="00A34CB6" w:rsidRPr="00E27FB1">
        <w:rPr>
          <w:rFonts w:cs="Arial"/>
        </w:rPr>
        <w:t xml:space="preserve">much-needed </w:t>
      </w:r>
      <w:r w:rsidR="003753F4" w:rsidRPr="00E27FB1">
        <w:rPr>
          <w:rFonts w:cs="Arial"/>
        </w:rPr>
        <w:t>new housing stock but is not without risks, to be detailed later in this submission.</w:t>
      </w:r>
    </w:p>
    <w:p w:rsidR="000F087E" w:rsidRPr="00E27FB1" w:rsidRDefault="004A030C" w:rsidP="00E27FB1">
      <w:pPr>
        <w:pStyle w:val="Heading2"/>
        <w:ind w:left="357"/>
      </w:pPr>
      <w:r w:rsidRPr="00E27FB1">
        <w:t>Quality</w:t>
      </w:r>
      <w:r w:rsidR="000F087E" w:rsidRPr="00E27FB1">
        <w:t xml:space="preserve"> and safeguarding</w:t>
      </w:r>
      <w:r w:rsidRPr="00E27FB1">
        <w:t xml:space="preserve"> pre-N</w:t>
      </w:r>
      <w:r w:rsidR="00F01BAF" w:rsidRPr="00E27FB1">
        <w:t>DIS</w:t>
      </w:r>
    </w:p>
    <w:p w:rsidR="00647D93" w:rsidRDefault="00647D93" w:rsidP="000F3C0C">
      <w:pPr>
        <w:ind w:left="0" w:firstLine="0"/>
        <w:rPr>
          <w:rFonts w:cs="Arial"/>
        </w:rPr>
      </w:pPr>
      <w:r>
        <w:rPr>
          <w:rFonts w:cs="Arial"/>
        </w:rPr>
        <w:t>The development and refinement of quality systems across states and territories has followed a similar</w:t>
      </w:r>
      <w:r w:rsidR="00B16381" w:rsidRPr="00B16381">
        <w:rPr>
          <w:rFonts w:cs="Arial"/>
        </w:rPr>
        <w:t xml:space="preserve"> broad pattern over the last two decades. </w:t>
      </w:r>
      <w:r w:rsidR="00B16381">
        <w:rPr>
          <w:rFonts w:cs="Arial"/>
        </w:rPr>
        <w:t xml:space="preserve">It has generally begun with </w:t>
      </w:r>
      <w:r w:rsidR="00B16381" w:rsidRPr="00B16381">
        <w:rPr>
          <w:rFonts w:cs="Arial"/>
        </w:rPr>
        <w:t xml:space="preserve">regulation of the sector by </w:t>
      </w:r>
      <w:r w:rsidR="007C56C6">
        <w:rPr>
          <w:rFonts w:cs="Arial"/>
        </w:rPr>
        <w:t xml:space="preserve">state or territory-based </w:t>
      </w:r>
      <w:r w:rsidR="00B16381" w:rsidRPr="00B16381">
        <w:rPr>
          <w:rFonts w:cs="Arial"/>
        </w:rPr>
        <w:t xml:space="preserve">legislation in the first instance, accompanied by </w:t>
      </w:r>
      <w:r>
        <w:rPr>
          <w:rFonts w:cs="Arial"/>
        </w:rPr>
        <w:t>some</w:t>
      </w:r>
      <w:r w:rsidR="00B16381" w:rsidRPr="00B16381">
        <w:rPr>
          <w:rFonts w:cs="Arial"/>
        </w:rPr>
        <w:t xml:space="preserve"> initial measures to safeguard service users by screening workers (</w:t>
      </w:r>
      <w:r>
        <w:rPr>
          <w:rFonts w:cs="Arial"/>
        </w:rPr>
        <w:t>sometimes only</w:t>
      </w:r>
      <w:r w:rsidR="00B16381" w:rsidRPr="00B16381">
        <w:rPr>
          <w:rFonts w:cs="Arial"/>
        </w:rPr>
        <w:t xml:space="preserve"> requiring a declaration of suitability by the applicant)</w:t>
      </w:r>
      <w:r w:rsidR="00B16381">
        <w:rPr>
          <w:rFonts w:cs="Arial"/>
        </w:rPr>
        <w:t xml:space="preserve">. </w:t>
      </w:r>
    </w:p>
    <w:p w:rsidR="00B16381" w:rsidRDefault="00B16381" w:rsidP="000F3C0C">
      <w:pPr>
        <w:ind w:left="0" w:firstLine="0"/>
        <w:rPr>
          <w:rFonts w:cs="Arial"/>
        </w:rPr>
      </w:pPr>
      <w:r>
        <w:rPr>
          <w:rFonts w:cs="Arial"/>
        </w:rPr>
        <w:t>An</w:t>
      </w:r>
      <w:r w:rsidRPr="00B16381">
        <w:rPr>
          <w:rFonts w:cs="Arial"/>
        </w:rPr>
        <w:t xml:space="preserve"> extensive revision of legislation</w:t>
      </w:r>
      <w:r>
        <w:rPr>
          <w:rFonts w:cs="Arial"/>
        </w:rPr>
        <w:t xml:space="preserve"> </w:t>
      </w:r>
      <w:r w:rsidR="00647D93">
        <w:rPr>
          <w:rFonts w:cs="Arial"/>
        </w:rPr>
        <w:t>was common in the e</w:t>
      </w:r>
      <w:r>
        <w:rPr>
          <w:rFonts w:cs="Arial"/>
        </w:rPr>
        <w:t>arly 2000s</w:t>
      </w:r>
      <w:r w:rsidR="00A841F4">
        <w:rPr>
          <w:rFonts w:cs="Arial"/>
        </w:rPr>
        <w:t xml:space="preserve"> </w:t>
      </w:r>
      <w:r w:rsidRPr="00B16381">
        <w:rPr>
          <w:rFonts w:cs="Arial"/>
        </w:rPr>
        <w:t>with a trend towards</w:t>
      </w:r>
      <w:r w:rsidR="00647D93">
        <w:rPr>
          <w:rFonts w:cs="Arial"/>
        </w:rPr>
        <w:t>:</w:t>
      </w:r>
      <w:r w:rsidRPr="00B16381">
        <w:rPr>
          <w:rFonts w:cs="Arial"/>
        </w:rPr>
        <w:t xml:space="preserve"> increasing </w:t>
      </w:r>
      <w:r w:rsidR="00647D93">
        <w:rPr>
          <w:rFonts w:cs="Arial"/>
        </w:rPr>
        <w:t xml:space="preserve">the </w:t>
      </w:r>
      <w:r w:rsidRPr="00B16381">
        <w:rPr>
          <w:rFonts w:cs="Arial"/>
        </w:rPr>
        <w:t xml:space="preserve">scrutiny of provider service quality standards </w:t>
      </w:r>
      <w:r w:rsidR="00A841F4">
        <w:rPr>
          <w:rFonts w:cs="Arial"/>
        </w:rPr>
        <w:t>(</w:t>
      </w:r>
      <w:r w:rsidR="00647D93">
        <w:rPr>
          <w:rFonts w:cs="Arial"/>
        </w:rPr>
        <w:t>generally</w:t>
      </w:r>
      <w:r w:rsidRPr="00B16381">
        <w:rPr>
          <w:rFonts w:cs="Arial"/>
        </w:rPr>
        <w:t xml:space="preserve"> mandated state-based standards </w:t>
      </w:r>
      <w:r w:rsidR="00A841F4">
        <w:rPr>
          <w:rFonts w:cs="Arial"/>
        </w:rPr>
        <w:t xml:space="preserve">which were later </w:t>
      </w:r>
      <w:r w:rsidRPr="00B16381">
        <w:rPr>
          <w:rFonts w:cs="Arial"/>
        </w:rPr>
        <w:t>aligned with the National Standards for Disability Services</w:t>
      </w:r>
      <w:r w:rsidR="00A841F4">
        <w:rPr>
          <w:rFonts w:cs="Arial"/>
        </w:rPr>
        <w:t>)</w:t>
      </w:r>
      <w:r w:rsidRPr="00B16381">
        <w:rPr>
          <w:rFonts w:cs="Arial"/>
        </w:rPr>
        <w:t>; the formalisation of procedures for governments to receive reports of critical incidents and to investigate these</w:t>
      </w:r>
      <w:r w:rsidR="00647D93">
        <w:rPr>
          <w:rFonts w:cs="Arial"/>
        </w:rPr>
        <w:t>;</w:t>
      </w:r>
      <w:r w:rsidRPr="00B16381">
        <w:rPr>
          <w:rFonts w:cs="Arial"/>
        </w:rPr>
        <w:t xml:space="preserve"> </w:t>
      </w:r>
      <w:r w:rsidR="00647D93">
        <w:rPr>
          <w:rFonts w:cs="Arial"/>
        </w:rPr>
        <w:t xml:space="preserve">promotion of the importance of a ‘complaints culture’; </w:t>
      </w:r>
      <w:r w:rsidRPr="00B16381">
        <w:rPr>
          <w:rFonts w:cs="Arial"/>
        </w:rPr>
        <w:t>and an increasing awareness of the human rights implications of the unregulated use of restrictive practices.</w:t>
      </w:r>
    </w:p>
    <w:p w:rsidR="006A1A88" w:rsidRDefault="006A1A88" w:rsidP="000F3C0C">
      <w:pPr>
        <w:ind w:left="0" w:firstLine="0"/>
        <w:rPr>
          <w:rFonts w:cs="Arial"/>
        </w:rPr>
      </w:pPr>
      <w:r>
        <w:rPr>
          <w:rFonts w:cs="Arial"/>
        </w:rPr>
        <w:t>In investigating the need for a national disability scheme, the Productivity Commission noted</w:t>
      </w:r>
      <w:r w:rsidR="00E27FB1">
        <w:rPr>
          <w:rFonts w:cs="Arial"/>
        </w:rPr>
        <w:t xml:space="preserve"> (</w:t>
      </w:r>
      <w:r w:rsidR="00E27FB1" w:rsidRPr="00785C5B">
        <w:rPr>
          <w:rFonts w:cs="Arial"/>
        </w:rPr>
        <w:t>Productivity Commission 2015, ‘Disability Care and Support’, pp. 494–495</w:t>
      </w:r>
      <w:r w:rsidR="00E27FB1">
        <w:rPr>
          <w:rFonts w:cs="Arial"/>
        </w:rPr>
        <w:t>)</w:t>
      </w:r>
      <w:r>
        <w:rPr>
          <w:rFonts w:cs="Arial"/>
        </w:rPr>
        <w:t>:</w:t>
      </w:r>
    </w:p>
    <w:p w:rsidR="006A1A88" w:rsidRPr="006A1A88" w:rsidRDefault="006A1A88" w:rsidP="000F3C0C">
      <w:pPr>
        <w:ind w:left="0" w:firstLine="0"/>
        <w:rPr>
          <w:rFonts w:cs="Arial"/>
        </w:rPr>
      </w:pPr>
      <w:r w:rsidRPr="006A1A88">
        <w:rPr>
          <w:rFonts w:cs="Arial"/>
        </w:rPr>
        <w:t xml:space="preserve">Service providers are subject to various (Commonwealth, state and territory) regulatory and statutory provisions in areas such as home and community care, occupational health and safety and building codes. However, state and territory governments mainly regulate service delivery through their respective disability laws (with the exception of disability employment services, which are subject to the Commonwealth </w:t>
      </w:r>
      <w:r w:rsidRPr="006A1A88">
        <w:rPr>
          <w:rFonts w:cs="Arial"/>
          <w:i/>
        </w:rPr>
        <w:t>Disability Services Act 1986</w:t>
      </w:r>
      <w:r w:rsidRPr="006A1A88">
        <w:rPr>
          <w:rFonts w:cs="Arial"/>
        </w:rPr>
        <w:t>). The scope of legislation varies widely, with some Acts as short as seven pages (</w:t>
      </w:r>
      <w:smartTag w:uri="urn:schemas-microsoft-com:office:smarttags" w:element="State">
        <w:r w:rsidRPr="006A1A88">
          <w:rPr>
            <w:rFonts w:cs="Arial"/>
          </w:rPr>
          <w:t>South Australia</w:t>
        </w:r>
      </w:smartTag>
      <w:r w:rsidRPr="006A1A88">
        <w:rPr>
          <w:rFonts w:cs="Arial"/>
        </w:rPr>
        <w:t>) and others over 200 (</w:t>
      </w:r>
      <w:smartTag w:uri="urn:schemas-microsoft-com:office:smarttags" w:element="place">
        <w:smartTag w:uri="urn:schemas-microsoft-com:office:smarttags" w:element="State">
          <w:r w:rsidRPr="006A1A88">
            <w:rPr>
              <w:rFonts w:cs="Arial"/>
            </w:rPr>
            <w:t>Victoria</w:t>
          </w:r>
        </w:smartTag>
      </w:smartTag>
      <w:r w:rsidRPr="00B22D5C">
        <w:rPr>
          <w:rFonts w:cs="Arial"/>
        </w:rPr>
        <w:t>)</w:t>
      </w:r>
      <w:r w:rsidRPr="006A1A88">
        <w:rPr>
          <w:rFonts w:cs="Arial"/>
        </w:rPr>
        <w:t>. Most include requirements for dealing with complaints. Some have more detailed prescriptions relating to the provision of services, such as:</w:t>
      </w:r>
    </w:p>
    <w:p w:rsidR="006A1A88" w:rsidRPr="006A1A88" w:rsidRDefault="006A1A88" w:rsidP="00E27FB1">
      <w:pPr>
        <w:pStyle w:val="ListParagraph"/>
        <w:numPr>
          <w:ilvl w:val="0"/>
          <w:numId w:val="7"/>
        </w:numPr>
        <w:spacing w:before="240" w:after="240" w:line="240" w:lineRule="auto"/>
        <w:ind w:left="357" w:hanging="357"/>
        <w:rPr>
          <w:rFonts w:ascii="Arial" w:hAnsi="Arial" w:cs="Arial"/>
          <w:sz w:val="24"/>
        </w:rPr>
      </w:pPr>
      <w:r w:rsidRPr="006A1A88">
        <w:rPr>
          <w:rFonts w:ascii="Arial" w:hAnsi="Arial" w:cs="Arial"/>
          <w:sz w:val="24"/>
        </w:rPr>
        <w:t>requirements for criminal history screening (Queensland)</w:t>
      </w:r>
    </w:p>
    <w:p w:rsidR="006A1A88" w:rsidRPr="006A1A88" w:rsidRDefault="006A1A88" w:rsidP="00E27FB1">
      <w:pPr>
        <w:pStyle w:val="ListParagraph"/>
        <w:numPr>
          <w:ilvl w:val="0"/>
          <w:numId w:val="7"/>
        </w:numPr>
        <w:spacing w:before="240" w:after="240" w:line="240" w:lineRule="auto"/>
        <w:ind w:left="357" w:hanging="357"/>
        <w:rPr>
          <w:rFonts w:ascii="Arial" w:hAnsi="Arial" w:cs="Arial"/>
          <w:sz w:val="24"/>
        </w:rPr>
      </w:pPr>
      <w:r w:rsidRPr="006A1A88">
        <w:rPr>
          <w:rFonts w:ascii="Arial" w:hAnsi="Arial" w:cs="Arial"/>
          <w:sz w:val="24"/>
        </w:rPr>
        <w:t>enactment of certain monitoring bodies (such as community visitors and the office of the senior practitioner in Victoria)</w:t>
      </w:r>
    </w:p>
    <w:p w:rsidR="006A1A88" w:rsidRPr="006A1A88" w:rsidRDefault="006A1A88" w:rsidP="00E27FB1">
      <w:pPr>
        <w:pStyle w:val="ListParagraph"/>
        <w:numPr>
          <w:ilvl w:val="0"/>
          <w:numId w:val="7"/>
        </w:numPr>
        <w:spacing w:before="240" w:after="240" w:line="240" w:lineRule="auto"/>
        <w:ind w:left="357" w:hanging="357"/>
        <w:rPr>
          <w:rFonts w:ascii="Arial" w:hAnsi="Arial" w:cs="Arial"/>
          <w:sz w:val="24"/>
        </w:rPr>
      </w:pPr>
      <w:r w:rsidRPr="006A1A88">
        <w:rPr>
          <w:rFonts w:ascii="Arial" w:hAnsi="Arial" w:cs="Arial"/>
          <w:sz w:val="24"/>
        </w:rPr>
        <w:t>specific laws relating to service provision (such as the provisions for residential d</w:t>
      </w:r>
      <w:r>
        <w:rPr>
          <w:rFonts w:ascii="Arial" w:hAnsi="Arial" w:cs="Arial"/>
          <w:sz w:val="24"/>
        </w:rPr>
        <w:t>isability services in Victoria).</w:t>
      </w:r>
      <w:r w:rsidRPr="006A1A88">
        <w:rPr>
          <w:rFonts w:ascii="Arial" w:hAnsi="Arial" w:cs="Arial"/>
          <w:sz w:val="24"/>
        </w:rPr>
        <w:t xml:space="preserve"> </w:t>
      </w:r>
    </w:p>
    <w:p w:rsidR="006A1A88" w:rsidRPr="00B16381" w:rsidRDefault="006A1A88" w:rsidP="000F3C0C">
      <w:pPr>
        <w:ind w:left="0" w:firstLine="0"/>
        <w:rPr>
          <w:rFonts w:cs="Arial"/>
        </w:rPr>
      </w:pPr>
      <w:r>
        <w:rPr>
          <w:rFonts w:cs="Arial"/>
        </w:rPr>
        <w:t>Since this time</w:t>
      </w:r>
      <w:r w:rsidR="00141FBF">
        <w:rPr>
          <w:rFonts w:cs="Arial"/>
        </w:rPr>
        <w:t>,</w:t>
      </w:r>
      <w:r>
        <w:rPr>
          <w:rFonts w:cs="Arial"/>
        </w:rPr>
        <w:t xml:space="preserve"> </w:t>
      </w:r>
      <w:r w:rsidR="004F615B">
        <w:rPr>
          <w:rFonts w:cs="Arial"/>
        </w:rPr>
        <w:t>additional requirements</w:t>
      </w:r>
      <w:r>
        <w:rPr>
          <w:rFonts w:cs="Arial"/>
        </w:rPr>
        <w:t xml:space="preserve"> were introduced in some jurisdictions.</w:t>
      </w:r>
      <w:r w:rsidR="00513D86">
        <w:rPr>
          <w:rFonts w:cs="Arial"/>
        </w:rPr>
        <w:t xml:space="preserve"> A summary of approaches used in recent years across Australia is provided in </w:t>
      </w:r>
      <w:r w:rsidR="00C6027B">
        <w:rPr>
          <w:rFonts w:cs="Arial"/>
        </w:rPr>
        <w:t>the</w:t>
      </w:r>
      <w:r w:rsidR="00513D86">
        <w:rPr>
          <w:rFonts w:cs="Arial"/>
        </w:rPr>
        <w:t xml:space="preserve"> Appendix.</w:t>
      </w:r>
      <w:r w:rsidR="00513D86" w:rsidRPr="00E27FB1">
        <w:rPr>
          <w:rFonts w:cs="Arial"/>
        </w:rPr>
        <w:t xml:space="preserve"> </w:t>
      </w:r>
    </w:p>
    <w:p w:rsidR="00C90962" w:rsidRPr="00E27FB1" w:rsidRDefault="00141FBF" w:rsidP="000F3C0C">
      <w:pPr>
        <w:ind w:left="0" w:firstLine="0"/>
        <w:rPr>
          <w:rFonts w:cs="Arial"/>
        </w:rPr>
      </w:pPr>
      <w:r w:rsidRPr="00E27FB1">
        <w:rPr>
          <w:rFonts w:cs="Arial"/>
        </w:rPr>
        <w:t xml:space="preserve">The above </w:t>
      </w:r>
      <w:r w:rsidR="00742E41" w:rsidRPr="00E27FB1">
        <w:rPr>
          <w:rFonts w:cs="Arial"/>
        </w:rPr>
        <w:t xml:space="preserve">general description </w:t>
      </w:r>
      <w:r w:rsidR="004861D8" w:rsidRPr="00E27FB1">
        <w:rPr>
          <w:rFonts w:cs="Arial"/>
        </w:rPr>
        <w:t>obscures</w:t>
      </w:r>
      <w:r w:rsidR="00742E41" w:rsidRPr="00E27FB1">
        <w:rPr>
          <w:rFonts w:cs="Arial"/>
        </w:rPr>
        <w:t xml:space="preserve"> the great variation in how</w:t>
      </w:r>
      <w:r w:rsidR="00E563A2" w:rsidRPr="00E27FB1">
        <w:rPr>
          <w:rFonts w:cs="Arial"/>
        </w:rPr>
        <w:t xml:space="preserve"> quality and safeguarding </w:t>
      </w:r>
      <w:r w:rsidR="00C90962" w:rsidRPr="00E27FB1">
        <w:rPr>
          <w:rFonts w:cs="Arial"/>
        </w:rPr>
        <w:t>measures were</w:t>
      </w:r>
      <w:r w:rsidR="00E563A2" w:rsidRPr="00E27FB1">
        <w:rPr>
          <w:rFonts w:cs="Arial"/>
        </w:rPr>
        <w:t xml:space="preserve"> actually implemented and how effective </w:t>
      </w:r>
      <w:r w:rsidR="00C90962" w:rsidRPr="00E27FB1">
        <w:rPr>
          <w:rFonts w:cs="Arial"/>
        </w:rPr>
        <w:t>they were</w:t>
      </w:r>
      <w:r w:rsidR="00E563A2" w:rsidRPr="00E27FB1">
        <w:rPr>
          <w:rFonts w:cs="Arial"/>
        </w:rPr>
        <w:t xml:space="preserve">. </w:t>
      </w:r>
    </w:p>
    <w:p w:rsidR="00B16381" w:rsidRPr="00E27FB1" w:rsidRDefault="00E563A2" w:rsidP="000F3C0C">
      <w:pPr>
        <w:ind w:left="0" w:firstLine="0"/>
        <w:rPr>
          <w:rFonts w:cs="Arial"/>
        </w:rPr>
      </w:pPr>
      <w:r w:rsidRPr="00E27FB1">
        <w:rPr>
          <w:rFonts w:cs="Arial"/>
        </w:rPr>
        <w:t>Prior to regulation by the NDIS Commission, jurisdictions had vastly different approaches to: accreditation (</w:t>
      </w:r>
      <w:r w:rsidR="00B63F70" w:rsidRPr="00E27FB1">
        <w:rPr>
          <w:rFonts w:cs="Arial"/>
        </w:rPr>
        <w:t xml:space="preserve">including </w:t>
      </w:r>
      <w:r w:rsidR="00C90962" w:rsidRPr="00E27FB1">
        <w:rPr>
          <w:rFonts w:cs="Arial"/>
        </w:rPr>
        <w:t xml:space="preserve">whether </w:t>
      </w:r>
      <w:r w:rsidR="00B63F70" w:rsidRPr="00E27FB1">
        <w:rPr>
          <w:rFonts w:cs="Arial"/>
        </w:rPr>
        <w:t>it was undertaken by an independent auditor)</w:t>
      </w:r>
      <w:r w:rsidRPr="00E27FB1">
        <w:rPr>
          <w:rFonts w:cs="Arial"/>
        </w:rPr>
        <w:t>; use of restrictive practices (definitions and understandings of what constituted a restrictive practice, approval of their use, reporting and use of positive behaviour supports)</w:t>
      </w:r>
      <w:r w:rsidR="00C90962" w:rsidRPr="00E27FB1">
        <w:rPr>
          <w:rFonts w:cs="Arial"/>
        </w:rPr>
        <w:t>;</w:t>
      </w:r>
      <w:r w:rsidRPr="00E27FB1">
        <w:rPr>
          <w:rFonts w:cs="Arial"/>
        </w:rPr>
        <w:t xml:space="preserve"> the culture of complaints (and the encouragement </w:t>
      </w:r>
      <w:r w:rsidR="00C90962" w:rsidRPr="00E27FB1">
        <w:rPr>
          <w:rFonts w:cs="Arial"/>
        </w:rPr>
        <w:t xml:space="preserve">and support available </w:t>
      </w:r>
      <w:r w:rsidRPr="00E27FB1">
        <w:rPr>
          <w:rFonts w:cs="Arial"/>
        </w:rPr>
        <w:t>to make a complaint)</w:t>
      </w:r>
      <w:r w:rsidR="00C90962" w:rsidRPr="00E27FB1">
        <w:rPr>
          <w:rFonts w:cs="Arial"/>
        </w:rPr>
        <w:t>;</w:t>
      </w:r>
      <w:r w:rsidRPr="00E27FB1">
        <w:rPr>
          <w:rFonts w:cs="Arial"/>
        </w:rPr>
        <w:t xml:space="preserve"> incident reporting and management</w:t>
      </w:r>
      <w:r w:rsidR="00C90962" w:rsidRPr="00E27FB1">
        <w:rPr>
          <w:rFonts w:cs="Arial"/>
        </w:rPr>
        <w:t>;</w:t>
      </w:r>
      <w:r w:rsidRPr="00E27FB1">
        <w:rPr>
          <w:rFonts w:cs="Arial"/>
        </w:rPr>
        <w:t xml:space="preserve"> </w:t>
      </w:r>
      <w:r w:rsidR="00BC0572" w:rsidRPr="00E27FB1">
        <w:rPr>
          <w:rFonts w:cs="Arial"/>
        </w:rPr>
        <w:t xml:space="preserve">and the investment </w:t>
      </w:r>
      <w:r w:rsidR="00612A57" w:rsidRPr="00E27FB1">
        <w:rPr>
          <w:rFonts w:cs="Arial"/>
        </w:rPr>
        <w:t xml:space="preserve">by governments </w:t>
      </w:r>
      <w:r w:rsidR="00BC0572" w:rsidRPr="00E27FB1">
        <w:rPr>
          <w:rFonts w:cs="Arial"/>
        </w:rPr>
        <w:t>in training and development for organisations and their staff on improving practice.</w:t>
      </w:r>
    </w:p>
    <w:p w:rsidR="00C90962" w:rsidRPr="00E27FB1" w:rsidRDefault="00B765BA" w:rsidP="000F3C0C">
      <w:pPr>
        <w:ind w:left="0" w:firstLine="0"/>
        <w:rPr>
          <w:rFonts w:cs="Arial"/>
        </w:rPr>
      </w:pPr>
      <w:r w:rsidRPr="00E27FB1">
        <w:rPr>
          <w:rFonts w:cs="Arial"/>
        </w:rPr>
        <w:t xml:space="preserve">As </w:t>
      </w:r>
      <w:r w:rsidR="00C90962" w:rsidRPr="00E27FB1">
        <w:rPr>
          <w:rFonts w:cs="Arial"/>
        </w:rPr>
        <w:t xml:space="preserve">quality </w:t>
      </w:r>
      <w:r w:rsidR="00B22D5C" w:rsidRPr="00E27FB1">
        <w:rPr>
          <w:rFonts w:cs="Arial"/>
        </w:rPr>
        <w:t>is</w:t>
      </w:r>
      <w:r w:rsidR="00C90962" w:rsidRPr="00E27FB1">
        <w:rPr>
          <w:rFonts w:cs="Arial"/>
        </w:rPr>
        <w:t xml:space="preserve"> shaped by</w:t>
      </w:r>
      <w:r w:rsidRPr="00E27FB1">
        <w:rPr>
          <w:rFonts w:cs="Arial"/>
        </w:rPr>
        <w:t xml:space="preserve"> </w:t>
      </w:r>
      <w:r w:rsidR="00C36684" w:rsidRPr="00E27FB1">
        <w:rPr>
          <w:rFonts w:cs="Arial"/>
        </w:rPr>
        <w:t>the</w:t>
      </w:r>
      <w:r w:rsidRPr="00E27FB1">
        <w:rPr>
          <w:rFonts w:cs="Arial"/>
        </w:rPr>
        <w:t xml:space="preserve"> regulatory framework, it is to be expected that the quality of supports received by people living in group homes did vary </w:t>
      </w:r>
      <w:r w:rsidR="00141FBF" w:rsidRPr="00E27FB1">
        <w:rPr>
          <w:rFonts w:cs="Arial"/>
        </w:rPr>
        <w:t xml:space="preserve">between </w:t>
      </w:r>
      <w:r w:rsidRPr="00E27FB1">
        <w:rPr>
          <w:rFonts w:cs="Arial"/>
        </w:rPr>
        <w:t>jurisdictions as well as within them.</w:t>
      </w:r>
    </w:p>
    <w:p w:rsidR="00C90962" w:rsidRDefault="00C90962" w:rsidP="000F3C0C">
      <w:pPr>
        <w:ind w:left="0" w:firstLine="0"/>
        <w:rPr>
          <w:rFonts w:cs="Arial"/>
        </w:rPr>
      </w:pPr>
      <w:r w:rsidRPr="00B16381">
        <w:rPr>
          <w:rFonts w:cs="Arial"/>
        </w:rPr>
        <w:t xml:space="preserve">The publication of the NDIS Quality and Safeguarding Framework in 2016 and its subsequent implementation </w:t>
      </w:r>
      <w:r w:rsidR="007E1549">
        <w:rPr>
          <w:rFonts w:cs="Arial"/>
        </w:rPr>
        <w:t xml:space="preserve">through the new NDIS Commission—through mechanisms such as </w:t>
      </w:r>
      <w:r w:rsidRPr="00B16381">
        <w:rPr>
          <w:rFonts w:cs="Arial"/>
        </w:rPr>
        <w:t xml:space="preserve">the NDIS Practice Standards and </w:t>
      </w:r>
      <w:r w:rsidRPr="00C90962">
        <w:rPr>
          <w:rFonts w:cs="Arial"/>
        </w:rPr>
        <w:t>NDIS Commission Rules</w:t>
      </w:r>
      <w:r w:rsidRPr="00E27FB1">
        <w:rPr>
          <w:rFonts w:cs="Arial"/>
        </w:rPr>
        <w:t xml:space="preserve"> </w:t>
      </w:r>
      <w:r>
        <w:rPr>
          <w:rFonts w:cs="Arial"/>
        </w:rPr>
        <w:t>and Guidelines</w:t>
      </w:r>
      <w:r w:rsidR="00B765BA">
        <w:rPr>
          <w:rFonts w:cs="Arial"/>
        </w:rPr>
        <w:t>—</w:t>
      </w:r>
      <w:r w:rsidR="007E1549">
        <w:rPr>
          <w:rFonts w:cs="Arial"/>
        </w:rPr>
        <w:t>i</w:t>
      </w:r>
      <w:r>
        <w:rPr>
          <w:rFonts w:cs="Arial"/>
        </w:rPr>
        <w:t>s introducing</w:t>
      </w:r>
      <w:r w:rsidRPr="00B16381">
        <w:rPr>
          <w:rFonts w:cs="Arial"/>
        </w:rPr>
        <w:t xml:space="preserve"> national consistency</w:t>
      </w:r>
      <w:r w:rsidR="003249D9">
        <w:rPr>
          <w:rFonts w:cs="Arial"/>
        </w:rPr>
        <w:t xml:space="preserve"> (if not uniformity</w:t>
      </w:r>
      <w:r w:rsidR="00E46A10">
        <w:rPr>
          <w:rFonts w:cs="Arial"/>
        </w:rPr>
        <w:t xml:space="preserve"> in all aspects</w:t>
      </w:r>
      <w:r w:rsidR="003249D9">
        <w:rPr>
          <w:rFonts w:cs="Arial"/>
        </w:rPr>
        <w:t xml:space="preserve">) </w:t>
      </w:r>
      <w:r w:rsidRPr="00B16381">
        <w:rPr>
          <w:rFonts w:cs="Arial"/>
        </w:rPr>
        <w:t xml:space="preserve">to </w:t>
      </w:r>
      <w:r w:rsidR="007E1549">
        <w:rPr>
          <w:rFonts w:cs="Arial"/>
        </w:rPr>
        <w:t xml:space="preserve">what has been </w:t>
      </w:r>
      <w:r w:rsidRPr="00B16381">
        <w:rPr>
          <w:rFonts w:cs="Arial"/>
        </w:rPr>
        <w:t xml:space="preserve">a patchwork of regulation </w:t>
      </w:r>
      <w:r w:rsidR="00965A27">
        <w:rPr>
          <w:rFonts w:cs="Arial"/>
        </w:rPr>
        <w:t xml:space="preserve">and practice </w:t>
      </w:r>
      <w:r w:rsidRPr="00B16381">
        <w:rPr>
          <w:rFonts w:cs="Arial"/>
        </w:rPr>
        <w:t>across the jurisdictions.</w:t>
      </w:r>
    </w:p>
    <w:p w:rsidR="00CC6B12" w:rsidRPr="00E27FB1" w:rsidRDefault="000D6701" w:rsidP="00E27FB1">
      <w:pPr>
        <w:pStyle w:val="Heading2"/>
        <w:ind w:left="357"/>
      </w:pPr>
      <w:r w:rsidRPr="00E27FB1">
        <w:t>National Disability Insurance Scheme</w:t>
      </w:r>
    </w:p>
    <w:p w:rsidR="004861D8" w:rsidRPr="006061B9" w:rsidRDefault="004861D8" w:rsidP="000F3C0C">
      <w:pPr>
        <w:ind w:left="0" w:firstLine="0"/>
        <w:rPr>
          <w:rFonts w:cs="Arial"/>
        </w:rPr>
      </w:pPr>
      <w:r w:rsidRPr="006061B9">
        <w:rPr>
          <w:rFonts w:cs="Arial"/>
        </w:rPr>
        <w:t xml:space="preserve">The introduction of the NDIS </w:t>
      </w:r>
      <w:r w:rsidR="00345597" w:rsidRPr="006061B9">
        <w:rPr>
          <w:rFonts w:cs="Arial"/>
        </w:rPr>
        <w:t>has driven</w:t>
      </w:r>
      <w:r w:rsidRPr="006061B9">
        <w:rPr>
          <w:rFonts w:cs="Arial"/>
        </w:rPr>
        <w:t xml:space="preserve"> a new approach to providing group home funding by making available two payments. In its simplest description (and there are complexit</w:t>
      </w:r>
      <w:r w:rsidR="00970C5A" w:rsidRPr="006061B9">
        <w:rPr>
          <w:rFonts w:cs="Arial"/>
        </w:rPr>
        <w:t>i</w:t>
      </w:r>
      <w:r w:rsidRPr="006061B9">
        <w:rPr>
          <w:rFonts w:cs="Arial"/>
        </w:rPr>
        <w:t>es</w:t>
      </w:r>
      <w:r w:rsidR="00970C5A" w:rsidRPr="006061B9">
        <w:rPr>
          <w:rFonts w:cs="Arial"/>
        </w:rPr>
        <w:t>)</w:t>
      </w:r>
      <w:r w:rsidR="00E27FB1" w:rsidRPr="006061B9">
        <w:rPr>
          <w:rFonts w:cs="Arial"/>
        </w:rPr>
        <w:t>. [</w:t>
      </w:r>
      <w:r w:rsidR="00E27FB1" w:rsidRPr="00785C5B">
        <w:rPr>
          <w:rFonts w:cs="Arial"/>
        </w:rPr>
        <w:t xml:space="preserve">A range of documents explaining SDA are available on the </w:t>
      </w:r>
      <w:hyperlink r:id="rId10" w:history="1">
        <w:r w:rsidR="00E27FB1" w:rsidRPr="006061B9">
          <w:t>NDIS website</w:t>
        </w:r>
      </w:hyperlink>
      <w:r w:rsidR="00E27FB1">
        <w:rPr>
          <w:rFonts w:cs="Arial"/>
        </w:rPr>
        <w:t>].</w:t>
      </w:r>
      <w:r w:rsidR="00970C5A" w:rsidRPr="006061B9">
        <w:rPr>
          <w:rFonts w:cs="Arial"/>
        </w:rPr>
        <w:t xml:space="preserve"> </w:t>
      </w:r>
      <w:r w:rsidR="007F6E6A" w:rsidRPr="006061B9">
        <w:rPr>
          <w:rFonts w:cs="Arial"/>
        </w:rPr>
        <w:t xml:space="preserve">SDA </w:t>
      </w:r>
      <w:r w:rsidR="00970C5A" w:rsidRPr="006061B9">
        <w:rPr>
          <w:rFonts w:cs="Arial"/>
        </w:rPr>
        <w:t xml:space="preserve">funding </w:t>
      </w:r>
      <w:r w:rsidR="00162807" w:rsidRPr="006061B9">
        <w:rPr>
          <w:rFonts w:cs="Arial"/>
        </w:rPr>
        <w:t xml:space="preserve">is made available in the plans of eligible participants </w:t>
      </w:r>
      <w:r w:rsidR="00141FBF" w:rsidRPr="006061B9">
        <w:rPr>
          <w:rFonts w:cs="Arial"/>
        </w:rPr>
        <w:t xml:space="preserve">and </w:t>
      </w:r>
      <w:r w:rsidR="00162807" w:rsidRPr="006061B9">
        <w:rPr>
          <w:rFonts w:cs="Arial"/>
        </w:rPr>
        <w:t xml:space="preserve">can be claimed by the </w:t>
      </w:r>
      <w:r w:rsidR="00D77281" w:rsidRPr="006061B9">
        <w:rPr>
          <w:rFonts w:cs="Arial"/>
        </w:rPr>
        <w:t xml:space="preserve">registered provider who owns the </w:t>
      </w:r>
      <w:r w:rsidR="00162807" w:rsidRPr="006061B9">
        <w:rPr>
          <w:rFonts w:cs="Arial"/>
        </w:rPr>
        <w:t>property</w:t>
      </w:r>
      <w:r w:rsidR="00970C5A" w:rsidRPr="006061B9">
        <w:rPr>
          <w:rFonts w:cs="Arial"/>
        </w:rPr>
        <w:t xml:space="preserve"> where </w:t>
      </w:r>
      <w:r w:rsidR="00B87E4A" w:rsidRPr="006061B9">
        <w:rPr>
          <w:rFonts w:cs="Arial"/>
        </w:rPr>
        <w:t>an</w:t>
      </w:r>
      <w:r w:rsidR="008B5BC3" w:rsidRPr="006061B9">
        <w:rPr>
          <w:rFonts w:cs="Arial"/>
        </w:rPr>
        <w:t xml:space="preserve"> </w:t>
      </w:r>
      <w:r w:rsidR="00C36684" w:rsidRPr="006061B9">
        <w:rPr>
          <w:rFonts w:cs="Arial"/>
        </w:rPr>
        <w:t xml:space="preserve">eligible </w:t>
      </w:r>
      <w:r w:rsidR="00162807" w:rsidRPr="006061B9">
        <w:rPr>
          <w:rFonts w:cs="Arial"/>
        </w:rPr>
        <w:t xml:space="preserve">participant lives. In addition, </w:t>
      </w:r>
      <w:r w:rsidR="00970C5A" w:rsidRPr="006061B9">
        <w:rPr>
          <w:rFonts w:cs="Arial"/>
        </w:rPr>
        <w:t xml:space="preserve">funding </w:t>
      </w:r>
      <w:r w:rsidR="00162807" w:rsidRPr="006061B9">
        <w:rPr>
          <w:rFonts w:cs="Arial"/>
        </w:rPr>
        <w:t>is provided to participants</w:t>
      </w:r>
      <w:r w:rsidR="00970C5A" w:rsidRPr="006061B9">
        <w:rPr>
          <w:rFonts w:cs="Arial"/>
        </w:rPr>
        <w:t xml:space="preserve"> </w:t>
      </w:r>
      <w:r w:rsidR="00162807" w:rsidRPr="006061B9">
        <w:rPr>
          <w:rFonts w:cs="Arial"/>
        </w:rPr>
        <w:t>(generally SIL</w:t>
      </w:r>
      <w:r w:rsidR="00C36684" w:rsidRPr="006061B9">
        <w:rPr>
          <w:rFonts w:cs="Arial"/>
        </w:rPr>
        <w:t xml:space="preserve"> but can be through Assistance with Daily Life funding</w:t>
      </w:r>
      <w:r w:rsidR="00162807" w:rsidRPr="006061B9">
        <w:rPr>
          <w:rFonts w:cs="Arial"/>
        </w:rPr>
        <w:t xml:space="preserve">) to purchase </w:t>
      </w:r>
      <w:r w:rsidR="00C36684" w:rsidRPr="006061B9">
        <w:rPr>
          <w:rFonts w:cs="Arial"/>
        </w:rPr>
        <w:t>support</w:t>
      </w:r>
      <w:r w:rsidR="00597277" w:rsidRPr="006061B9">
        <w:rPr>
          <w:rFonts w:cs="Arial"/>
        </w:rPr>
        <w:t xml:space="preserve"> for activiti</w:t>
      </w:r>
      <w:r w:rsidR="00162807" w:rsidRPr="006061B9">
        <w:rPr>
          <w:rFonts w:cs="Arial"/>
        </w:rPr>
        <w:t>es of daily living.</w:t>
      </w:r>
      <w:r w:rsidR="00970C5A" w:rsidRPr="006061B9">
        <w:rPr>
          <w:rFonts w:cs="Arial"/>
        </w:rPr>
        <w:t xml:space="preserve"> </w:t>
      </w:r>
      <w:r w:rsidR="007F6E6A" w:rsidRPr="006061B9">
        <w:rPr>
          <w:rFonts w:cs="Arial"/>
        </w:rPr>
        <w:t>On the NDIS website, SDA and SIL are described as:</w:t>
      </w:r>
    </w:p>
    <w:p w:rsidR="007F6E6A" w:rsidRDefault="007F6E6A" w:rsidP="006061B9">
      <w:pPr>
        <w:ind w:left="284" w:firstLine="0"/>
        <w:rPr>
          <w:rFonts w:cs="Arial"/>
        </w:rPr>
      </w:pPr>
      <w:r w:rsidRPr="007F6E6A">
        <w:rPr>
          <w:rFonts w:cs="Arial"/>
        </w:rPr>
        <w:t>Specialist Disability Accommodation (SDA) refers to accommodation for people who require specialist housing solutions, including to assist with the delivery of supports that cater for their extreme functional impairment or very high support needs.</w:t>
      </w:r>
    </w:p>
    <w:p w:rsidR="007F6E6A" w:rsidRDefault="007F6E6A" w:rsidP="006061B9">
      <w:pPr>
        <w:ind w:left="284" w:firstLine="0"/>
        <w:rPr>
          <w:rFonts w:cs="Arial"/>
        </w:rPr>
      </w:pPr>
      <w:r w:rsidRPr="007F6E6A">
        <w:rPr>
          <w:rFonts w:cs="Arial"/>
        </w:rPr>
        <w:t>Funding is only provided to a small proportion of NDIS participants with extreme functional impairment or very high support needs who meet specific eligibility criteria.</w:t>
      </w:r>
    </w:p>
    <w:p w:rsidR="007F6E6A" w:rsidRPr="007F6E6A" w:rsidRDefault="007F6E6A" w:rsidP="006061B9">
      <w:pPr>
        <w:ind w:left="284" w:firstLine="0"/>
        <w:rPr>
          <w:rFonts w:cs="Arial"/>
        </w:rPr>
      </w:pPr>
      <w:r w:rsidRPr="007F6E6A">
        <w:rPr>
          <w:rFonts w:cs="Arial"/>
        </w:rPr>
        <w:t>SDA funding under the NDIS will stimulate investment in the development of new high quality dwellings for use by eligible NDIS participants. SDA funding is not support services, but is instead for the homes in which these services are delivered.</w:t>
      </w:r>
    </w:p>
    <w:p w:rsidR="007F6E6A" w:rsidRDefault="007F6E6A" w:rsidP="006061B9">
      <w:pPr>
        <w:ind w:left="284" w:firstLine="0"/>
        <w:rPr>
          <w:rFonts w:cs="Arial"/>
        </w:rPr>
      </w:pPr>
      <w:r w:rsidRPr="007F6E6A">
        <w:rPr>
          <w:rFonts w:cs="Arial"/>
        </w:rPr>
        <w:t>Supported Independent Living (SIL) is help with and/or supervision of daily tasks to develop the skills of an individual to live as independently as possible. These are the supports provided to a participant in their home, regardless of property ownership, and can be in a shared or individual arrangement.</w:t>
      </w:r>
    </w:p>
    <w:p w:rsidR="007F6E6A" w:rsidRPr="007F6E6A" w:rsidRDefault="007F6E6A" w:rsidP="006061B9">
      <w:pPr>
        <w:ind w:left="284" w:firstLine="0"/>
        <w:rPr>
          <w:rFonts w:cs="Arial"/>
        </w:rPr>
      </w:pPr>
      <w:r w:rsidRPr="007F6E6A">
        <w:rPr>
          <w:rFonts w:cs="Arial"/>
        </w:rPr>
        <w:t>Assistance provided to a participant will be included as part of their plan depending on the level of support they require to live independently in the housing option of their choice.</w:t>
      </w:r>
      <w:r w:rsidR="006061B9">
        <w:rPr>
          <w:rFonts w:cs="Arial"/>
        </w:rPr>
        <w:t xml:space="preserve"> [</w:t>
      </w:r>
      <w:r w:rsidR="006061B9" w:rsidRPr="00785C5B">
        <w:rPr>
          <w:rFonts w:cs="Arial"/>
        </w:rPr>
        <w:t xml:space="preserve">NDIS (Jan, 2020), </w:t>
      </w:r>
      <w:hyperlink r:id="rId11" w:history="1">
        <w:r w:rsidR="006061B9" w:rsidRPr="006061B9">
          <w:rPr>
            <w:rStyle w:val="Hyperlink"/>
            <w:rFonts w:cs="Arial"/>
          </w:rPr>
          <w:t>SDA Pricing and Payments</w:t>
        </w:r>
      </w:hyperlink>
      <w:r w:rsidR="006061B9">
        <w:rPr>
          <w:rFonts w:cs="Arial"/>
        </w:rPr>
        <w:t>]</w:t>
      </w:r>
    </w:p>
    <w:p w:rsidR="00A55CE0" w:rsidRPr="006061B9" w:rsidRDefault="00A55CE0" w:rsidP="000F3C0C">
      <w:pPr>
        <w:ind w:left="0" w:firstLine="0"/>
        <w:rPr>
          <w:rFonts w:cs="Arial"/>
        </w:rPr>
      </w:pPr>
      <w:r w:rsidRPr="006061B9">
        <w:rPr>
          <w:rFonts w:cs="Arial"/>
        </w:rPr>
        <w:t>Prior to the NDIS</w:t>
      </w:r>
      <w:r w:rsidR="003249D9" w:rsidRPr="006061B9">
        <w:rPr>
          <w:rFonts w:cs="Arial"/>
        </w:rPr>
        <w:t>,</w:t>
      </w:r>
      <w:r w:rsidRPr="006061B9">
        <w:rPr>
          <w:rFonts w:cs="Arial"/>
        </w:rPr>
        <w:t xml:space="preserve"> most properties used as group homes were owned by governments or not-for-profit providers. SDA payments have been structured to encour</w:t>
      </w:r>
      <w:r w:rsidR="00345597" w:rsidRPr="006061B9">
        <w:rPr>
          <w:rFonts w:cs="Arial"/>
        </w:rPr>
        <w:t>age developers into the market, to drive construction of new properties and to replace old stock.</w:t>
      </w:r>
      <w:r w:rsidR="0036038D" w:rsidRPr="006061B9">
        <w:rPr>
          <w:rFonts w:cs="Arial"/>
        </w:rPr>
        <w:t xml:space="preserve"> SDA payments are expected to increase the supply of dwellings to </w:t>
      </w:r>
      <w:r w:rsidR="00E46A10" w:rsidRPr="006061B9">
        <w:rPr>
          <w:rFonts w:cs="Arial"/>
        </w:rPr>
        <w:t xml:space="preserve">accommodate </w:t>
      </w:r>
      <w:r w:rsidR="00174F8D" w:rsidRPr="006061B9">
        <w:rPr>
          <w:rFonts w:cs="Arial"/>
        </w:rPr>
        <w:t xml:space="preserve">about </w:t>
      </w:r>
      <w:r w:rsidR="003249D9" w:rsidRPr="006061B9">
        <w:rPr>
          <w:rFonts w:cs="Arial"/>
        </w:rPr>
        <w:t>28,000</w:t>
      </w:r>
      <w:r w:rsidR="00174F8D" w:rsidRPr="006061B9">
        <w:rPr>
          <w:rFonts w:cs="Arial"/>
        </w:rPr>
        <w:t xml:space="preserve"> participants</w:t>
      </w:r>
      <w:r w:rsidR="0036038D" w:rsidRPr="006061B9">
        <w:rPr>
          <w:rFonts w:cs="Arial"/>
        </w:rPr>
        <w:t>.</w:t>
      </w:r>
    </w:p>
    <w:p w:rsidR="0036038D" w:rsidRPr="006061B9" w:rsidRDefault="0036038D" w:rsidP="000F3C0C">
      <w:pPr>
        <w:ind w:left="0" w:firstLine="0"/>
        <w:rPr>
          <w:rFonts w:cs="Arial"/>
        </w:rPr>
      </w:pPr>
      <w:r w:rsidRPr="006061B9">
        <w:rPr>
          <w:rFonts w:cs="Arial"/>
        </w:rPr>
        <w:t xml:space="preserve">Conversations about SDA cannot be had without </w:t>
      </w:r>
      <w:r w:rsidR="003249D9" w:rsidRPr="006061B9">
        <w:rPr>
          <w:rFonts w:cs="Arial"/>
        </w:rPr>
        <w:t>referring to</w:t>
      </w:r>
      <w:r w:rsidRPr="006061B9">
        <w:rPr>
          <w:rFonts w:cs="Arial"/>
        </w:rPr>
        <w:t xml:space="preserve"> the </w:t>
      </w:r>
      <w:r w:rsidR="003249D9" w:rsidRPr="006061B9">
        <w:rPr>
          <w:rFonts w:cs="Arial"/>
        </w:rPr>
        <w:t xml:space="preserve">chronic </w:t>
      </w:r>
      <w:r w:rsidR="005C003E" w:rsidRPr="006061B9">
        <w:rPr>
          <w:rFonts w:cs="Arial"/>
        </w:rPr>
        <w:t>affordable</w:t>
      </w:r>
      <w:r w:rsidRPr="006061B9">
        <w:rPr>
          <w:rFonts w:cs="Arial"/>
        </w:rPr>
        <w:t xml:space="preserve"> housing shortage in Australia. </w:t>
      </w:r>
      <w:r w:rsidR="005C003E" w:rsidRPr="006061B9">
        <w:rPr>
          <w:rFonts w:cs="Arial"/>
        </w:rPr>
        <w:t>The supply of a</w:t>
      </w:r>
      <w:r w:rsidRPr="006061B9">
        <w:rPr>
          <w:rFonts w:cs="Arial"/>
        </w:rPr>
        <w:t xml:space="preserve">ccessible, affordable and well-located housing supply falls well short of what is required to meet the needs of people with disability </w:t>
      </w:r>
      <w:r w:rsidR="00B87E4A" w:rsidRPr="006061B9">
        <w:rPr>
          <w:rFonts w:cs="Arial"/>
        </w:rPr>
        <w:t xml:space="preserve">including NDIS participants </w:t>
      </w:r>
      <w:r w:rsidRPr="006061B9">
        <w:rPr>
          <w:rFonts w:cs="Arial"/>
        </w:rPr>
        <w:t>(most of whom w</w:t>
      </w:r>
      <w:r w:rsidR="0030234D" w:rsidRPr="006061B9">
        <w:rPr>
          <w:rFonts w:cs="Arial"/>
        </w:rPr>
        <w:t>ill</w:t>
      </w:r>
      <w:r w:rsidRPr="006061B9">
        <w:rPr>
          <w:rFonts w:cs="Arial"/>
        </w:rPr>
        <w:t xml:space="preserve"> not be eligible for SDA funding). It is estimated that the percentage of people living in unaffordable housing is substantially higher if they have a disability (11.2</w:t>
      </w:r>
      <w:r w:rsidR="007F6E6A" w:rsidRPr="006061B9">
        <w:rPr>
          <w:rFonts w:cs="Arial"/>
        </w:rPr>
        <w:t xml:space="preserve"> per cent</w:t>
      </w:r>
      <w:r w:rsidRPr="006061B9">
        <w:rPr>
          <w:rFonts w:cs="Arial"/>
        </w:rPr>
        <w:t>) than if they don’t (7.6</w:t>
      </w:r>
      <w:r w:rsidR="007F6E6A" w:rsidRPr="006061B9">
        <w:rPr>
          <w:rFonts w:cs="Arial"/>
        </w:rPr>
        <w:t xml:space="preserve"> per cent</w:t>
      </w:r>
      <w:r w:rsidRPr="006061B9">
        <w:rPr>
          <w:rFonts w:cs="Arial"/>
        </w:rPr>
        <w:t xml:space="preserve">). </w:t>
      </w:r>
      <w:r w:rsidR="006061B9">
        <w:rPr>
          <w:rFonts w:cs="Arial"/>
        </w:rPr>
        <w:t>[</w:t>
      </w:r>
      <w:r w:rsidR="006061B9" w:rsidRPr="00785C5B">
        <w:rPr>
          <w:rFonts w:cs="Arial"/>
          <w:szCs w:val="20"/>
        </w:rPr>
        <w:t xml:space="preserve">The Mandarin (2019) </w:t>
      </w:r>
      <w:hyperlink r:id="rId12" w:history="1">
        <w:r w:rsidR="006061B9" w:rsidRPr="006061B9">
          <w:rPr>
            <w:rStyle w:val="Hyperlink"/>
            <w:rFonts w:cs="Arial"/>
            <w:szCs w:val="20"/>
          </w:rPr>
          <w:t>Why housing is a major public health issue for Australians with disability</w:t>
        </w:r>
      </w:hyperlink>
      <w:r w:rsidR="006061B9">
        <w:rPr>
          <w:rFonts w:cs="Arial"/>
          <w:szCs w:val="20"/>
        </w:rPr>
        <w:t>].</w:t>
      </w:r>
      <w:r w:rsidRPr="006061B9">
        <w:rPr>
          <w:rFonts w:cs="Arial"/>
        </w:rPr>
        <w:t>The NDIS is not the means to resolving the housing shortage of many people with disability.</w:t>
      </w:r>
    </w:p>
    <w:p w:rsidR="007F6E6A" w:rsidRDefault="007F6E6A" w:rsidP="000F3C0C">
      <w:pPr>
        <w:ind w:left="0" w:firstLine="0"/>
        <w:rPr>
          <w:rFonts w:cs="Arial"/>
        </w:rPr>
      </w:pPr>
      <w:r>
        <w:rPr>
          <w:rFonts w:cs="Arial"/>
        </w:rPr>
        <w:t>SIL is a high</w:t>
      </w:r>
      <w:r w:rsidR="0030234D">
        <w:rPr>
          <w:rFonts w:cs="Arial"/>
        </w:rPr>
        <w:t>-</w:t>
      </w:r>
      <w:r>
        <w:rPr>
          <w:rFonts w:cs="Arial"/>
        </w:rPr>
        <w:t xml:space="preserve">cost support, accounting for 32 per cent of annualised committed supports in current NDIS plans </w:t>
      </w:r>
      <w:r w:rsidR="006061B9">
        <w:rPr>
          <w:rFonts w:cs="Arial"/>
        </w:rPr>
        <w:t>[</w:t>
      </w:r>
      <w:r w:rsidR="006061B9" w:rsidRPr="00785C5B">
        <w:rPr>
          <w:rFonts w:cs="Arial"/>
        </w:rPr>
        <w:t xml:space="preserve">NDIA, 2020 Report to the </w:t>
      </w:r>
      <w:hyperlink r:id="rId13" w:history="1">
        <w:r w:rsidR="006061B9" w:rsidRPr="006061B9">
          <w:rPr>
            <w:rStyle w:val="Hyperlink"/>
            <w:rFonts w:cs="Arial"/>
          </w:rPr>
          <w:t>COAG Disability Reform Council for Q2 of Y7</w:t>
        </w:r>
      </w:hyperlink>
      <w:r w:rsidR="006061B9" w:rsidRPr="00785C5B">
        <w:rPr>
          <w:rFonts w:cs="Arial"/>
        </w:rPr>
        <w:t> Appendices</w:t>
      </w:r>
      <w:r w:rsidR="006061B9">
        <w:rPr>
          <w:rFonts w:cs="Arial"/>
        </w:rPr>
        <w:t xml:space="preserve"> ] </w:t>
      </w:r>
      <w:r>
        <w:rPr>
          <w:rFonts w:cs="Arial"/>
        </w:rPr>
        <w:t xml:space="preserve">(ranging from 27 per cent in VIC to 48 per cent in NT, excluding WA which is still in transition). </w:t>
      </w:r>
    </w:p>
    <w:p w:rsidR="007F6E6A" w:rsidRDefault="007F6E6A" w:rsidP="000F3C0C">
      <w:pPr>
        <w:ind w:left="0" w:firstLine="0"/>
        <w:rPr>
          <w:rFonts w:cs="Arial"/>
        </w:rPr>
      </w:pPr>
      <w:r>
        <w:rPr>
          <w:rFonts w:cs="Arial"/>
        </w:rPr>
        <w:t>Excluding WA, the table below highlights the large variance in the proportion of participants with SIL funding (from 5.5 per cent in VIC to 10.7 per cent in TAS and 11.8 per cent in NT). Using NDIS data from the latest Quarterly Report it is possible to calculate the average funding per SIL participant. This indicates the average funding per SIL participant varies greatly across the jurisdictions. Excluding NT and WA, VIC has the lowest average SIL funding of $289,661, compared with $344,629 in TAS (and $332,091 in QLD and $327,689 in ACT).</w:t>
      </w:r>
    </w:p>
    <w:p w:rsidR="00B87E4A" w:rsidRDefault="00B87E4A" w:rsidP="000F3C0C">
      <w:pPr>
        <w:ind w:left="0" w:firstLine="0"/>
        <w:rPr>
          <w:rFonts w:cs="Arial"/>
        </w:rPr>
      </w:pPr>
      <w:r>
        <w:rPr>
          <w:rFonts w:cs="Arial"/>
        </w:rPr>
        <w:t>The Quarterly Report does not give reasons as to why there is such a large variation in the proportion of participants who receive SIL across the country, and in the average funding they receive. Possible reasons for the differences include: reflect historical factors; differences in the disability profile across the country; different approaches to developing SIL quotes; differing cost structures of providers; or inconsistent quote approval practices of the NDIA.</w:t>
      </w:r>
    </w:p>
    <w:p w:rsidR="00B87E4A" w:rsidRDefault="00B87E4A" w:rsidP="000F3C0C">
      <w:pPr>
        <w:ind w:left="0" w:firstLine="0"/>
        <w:rPr>
          <w:rFonts w:cs="Arial"/>
        </w:rPr>
      </w:pPr>
      <w:r>
        <w:rPr>
          <w:rFonts w:cs="Arial"/>
        </w:rPr>
        <w:t xml:space="preserve">Given that inequities in the supports provided to people with disability across Australia </w:t>
      </w:r>
      <w:r w:rsidR="003249D9">
        <w:rPr>
          <w:rFonts w:cs="Arial"/>
        </w:rPr>
        <w:t>were</w:t>
      </w:r>
      <w:r>
        <w:rPr>
          <w:rFonts w:cs="Arial"/>
        </w:rPr>
        <w:t xml:space="preserve"> a driver for implementing a national disability scheme, we need to understand whether these differences (or the extent of them) are justified or not.</w:t>
      </w:r>
    </w:p>
    <w:tbl>
      <w:tblPr>
        <w:tblStyle w:val="TableGrid"/>
        <w:tblW w:w="9344" w:type="dxa"/>
        <w:tblInd w:w="-5" w:type="dxa"/>
        <w:tblLayout w:type="fixed"/>
        <w:tblLook w:val="04A0" w:firstRow="1" w:lastRow="0" w:firstColumn="1" w:lastColumn="0" w:noHBand="0" w:noVBand="1"/>
        <w:tblCaption w:val="Number of SIL, Total Commented and Average per participate by State "/>
        <w:tblDescription w:val="Row 1: Sate; Number of SIL; percentage of SIL; Total Committed funds for SIL; percent committed funds for SIL; Average SIL per participant.  Row 2: NSW; 8058; 7.1; $2,580,189,545; 35; $320,202. Row 3: VIC; 5020; 5.5; $1,454,098,545; 27; $289,661. Row 4: QLD; 4173; 6.8; $1,385,816,722; 29; $332,091. Row 5: WA; 1278; 5.3; $339,636,625; 23; $265,756. Row 6: SA; 2174; 7.0; $709,420,554; 36; $326,320. Row 7: TAS; 820; 10.7; $282,595,810; 46; $344,629; Row 8: ACT; 422; 5.8; $138,284,931; 33; $327,689. Row 9: NT; 332; 11.8; $175,993,238; 48; $530,100 Row 10: Total; 22,277; 6.6; $7,066,035,970; 32; $317,189"/>
      </w:tblPr>
      <w:tblGrid>
        <w:gridCol w:w="1174"/>
        <w:gridCol w:w="1276"/>
        <w:gridCol w:w="1134"/>
        <w:gridCol w:w="2268"/>
        <w:gridCol w:w="1842"/>
        <w:gridCol w:w="1650"/>
      </w:tblGrid>
      <w:tr w:rsidR="007F6E6A" w:rsidRPr="00BE27A2" w:rsidTr="006061B9">
        <w:trPr>
          <w:trHeight w:val="570"/>
        </w:trPr>
        <w:tc>
          <w:tcPr>
            <w:tcW w:w="1174" w:type="dxa"/>
            <w:noWrap/>
            <w:hideMark/>
          </w:tcPr>
          <w:p w:rsidR="007F6E6A" w:rsidRPr="00BE27A2" w:rsidRDefault="007F6E6A" w:rsidP="000F3C0C">
            <w:pPr>
              <w:ind w:left="0" w:firstLine="0"/>
              <w:contextualSpacing/>
              <w:jc w:val="center"/>
              <w:rPr>
                <w:rFonts w:cs="Arial"/>
              </w:rPr>
            </w:pPr>
          </w:p>
        </w:tc>
        <w:tc>
          <w:tcPr>
            <w:tcW w:w="1276" w:type="dxa"/>
            <w:noWrap/>
            <w:hideMark/>
          </w:tcPr>
          <w:p w:rsidR="007F6E6A" w:rsidRPr="00636009" w:rsidRDefault="007F6E6A" w:rsidP="000F3C0C">
            <w:pPr>
              <w:ind w:left="0" w:firstLine="0"/>
              <w:contextualSpacing/>
              <w:jc w:val="center"/>
              <w:rPr>
                <w:rFonts w:cs="Arial"/>
                <w:b/>
              </w:rPr>
            </w:pPr>
            <w:r w:rsidRPr="00636009">
              <w:rPr>
                <w:rFonts w:cs="Arial"/>
                <w:b/>
              </w:rPr>
              <w:t>Number with SIL</w:t>
            </w:r>
          </w:p>
        </w:tc>
        <w:tc>
          <w:tcPr>
            <w:tcW w:w="1134" w:type="dxa"/>
            <w:hideMark/>
          </w:tcPr>
          <w:p w:rsidR="007F6E6A" w:rsidRPr="00636009" w:rsidRDefault="007F6E6A" w:rsidP="000F3C0C">
            <w:pPr>
              <w:ind w:left="0" w:firstLine="0"/>
              <w:contextualSpacing/>
              <w:jc w:val="center"/>
              <w:rPr>
                <w:rFonts w:cs="Arial"/>
                <w:b/>
              </w:rPr>
            </w:pPr>
            <w:r w:rsidRPr="00636009">
              <w:rPr>
                <w:rFonts w:cs="Arial"/>
                <w:b/>
              </w:rPr>
              <w:t>% with SIL</w:t>
            </w:r>
          </w:p>
        </w:tc>
        <w:tc>
          <w:tcPr>
            <w:tcW w:w="2268" w:type="dxa"/>
            <w:hideMark/>
          </w:tcPr>
          <w:p w:rsidR="007F6E6A" w:rsidRPr="00636009" w:rsidRDefault="007F6E6A" w:rsidP="000F3C0C">
            <w:pPr>
              <w:ind w:left="0" w:firstLine="0"/>
              <w:contextualSpacing/>
              <w:jc w:val="center"/>
              <w:rPr>
                <w:rFonts w:cs="Arial"/>
                <w:b/>
              </w:rPr>
            </w:pPr>
            <w:r w:rsidRPr="00636009">
              <w:rPr>
                <w:rFonts w:cs="Arial"/>
                <w:b/>
              </w:rPr>
              <w:t>Total committed funds for SIL</w:t>
            </w:r>
          </w:p>
        </w:tc>
        <w:tc>
          <w:tcPr>
            <w:tcW w:w="1842" w:type="dxa"/>
            <w:hideMark/>
          </w:tcPr>
          <w:p w:rsidR="007F6E6A" w:rsidRPr="00636009" w:rsidRDefault="007F6E6A" w:rsidP="000F3C0C">
            <w:pPr>
              <w:ind w:left="0" w:firstLine="0"/>
              <w:contextualSpacing/>
              <w:jc w:val="center"/>
              <w:rPr>
                <w:rFonts w:cs="Arial"/>
                <w:b/>
              </w:rPr>
            </w:pPr>
            <w:r w:rsidRPr="00636009">
              <w:rPr>
                <w:rFonts w:cs="Arial"/>
                <w:b/>
              </w:rPr>
              <w:t>% committed funds for SIL</w:t>
            </w:r>
          </w:p>
        </w:tc>
        <w:tc>
          <w:tcPr>
            <w:tcW w:w="1650" w:type="dxa"/>
            <w:noWrap/>
            <w:hideMark/>
          </w:tcPr>
          <w:p w:rsidR="007F6E6A" w:rsidRPr="00636009" w:rsidRDefault="007F6E6A" w:rsidP="000F3C0C">
            <w:pPr>
              <w:ind w:left="0" w:firstLine="0"/>
              <w:contextualSpacing/>
              <w:jc w:val="center"/>
              <w:rPr>
                <w:rFonts w:cs="Arial"/>
                <w:b/>
              </w:rPr>
            </w:pPr>
            <w:r w:rsidRPr="00636009">
              <w:rPr>
                <w:rFonts w:cs="Arial"/>
                <w:b/>
              </w:rPr>
              <w:t>Ave SIL per participant</w:t>
            </w:r>
          </w:p>
        </w:tc>
      </w:tr>
      <w:tr w:rsidR="007F6E6A" w:rsidRPr="00BE27A2" w:rsidTr="006061B9">
        <w:trPr>
          <w:trHeight w:val="285"/>
        </w:trPr>
        <w:tc>
          <w:tcPr>
            <w:tcW w:w="1174" w:type="dxa"/>
            <w:noWrap/>
            <w:hideMark/>
          </w:tcPr>
          <w:p w:rsidR="007F6E6A" w:rsidRPr="00636009" w:rsidRDefault="007F6E6A" w:rsidP="000F3C0C">
            <w:pPr>
              <w:ind w:left="0" w:firstLine="0"/>
              <w:contextualSpacing/>
              <w:rPr>
                <w:rFonts w:cs="Arial"/>
                <w:b/>
              </w:rPr>
            </w:pPr>
            <w:r w:rsidRPr="00636009">
              <w:rPr>
                <w:rFonts w:cs="Arial"/>
                <w:b/>
              </w:rPr>
              <w:t>NSW</w:t>
            </w:r>
          </w:p>
        </w:tc>
        <w:tc>
          <w:tcPr>
            <w:tcW w:w="1276" w:type="dxa"/>
            <w:noWrap/>
          </w:tcPr>
          <w:p w:rsidR="007F6E6A" w:rsidRPr="00BE27A2" w:rsidRDefault="007F6E6A" w:rsidP="000F3C0C">
            <w:pPr>
              <w:ind w:left="0" w:firstLine="0"/>
              <w:contextualSpacing/>
              <w:jc w:val="right"/>
              <w:rPr>
                <w:rFonts w:cs="Arial"/>
              </w:rPr>
            </w:pPr>
            <w:r>
              <w:rPr>
                <w:rFonts w:cs="Arial"/>
              </w:rPr>
              <w:t>8058</w:t>
            </w:r>
          </w:p>
        </w:tc>
        <w:tc>
          <w:tcPr>
            <w:tcW w:w="1134" w:type="dxa"/>
            <w:noWrap/>
          </w:tcPr>
          <w:p w:rsidR="007F6E6A" w:rsidRPr="00BE27A2" w:rsidRDefault="007F6E6A" w:rsidP="000F3C0C">
            <w:pPr>
              <w:ind w:left="0" w:firstLine="0"/>
              <w:contextualSpacing/>
              <w:jc w:val="center"/>
              <w:rPr>
                <w:rFonts w:cs="Arial"/>
              </w:rPr>
            </w:pPr>
            <w:r>
              <w:rPr>
                <w:rFonts w:cs="Arial"/>
              </w:rPr>
              <w:t>7.1</w:t>
            </w:r>
          </w:p>
        </w:tc>
        <w:tc>
          <w:tcPr>
            <w:tcW w:w="2268" w:type="dxa"/>
            <w:noWrap/>
            <w:hideMark/>
          </w:tcPr>
          <w:p w:rsidR="007F6E6A" w:rsidRPr="00BE27A2" w:rsidRDefault="007F6E6A" w:rsidP="000F3C0C">
            <w:pPr>
              <w:ind w:left="0" w:firstLine="0"/>
              <w:contextualSpacing/>
              <w:jc w:val="right"/>
              <w:rPr>
                <w:rFonts w:cs="Arial"/>
              </w:rPr>
            </w:pPr>
            <w:r w:rsidRPr="00BE27A2">
              <w:rPr>
                <w:rFonts w:cs="Arial"/>
              </w:rPr>
              <w:t>$2,</w:t>
            </w:r>
            <w:r>
              <w:rPr>
                <w:rFonts w:cs="Arial"/>
              </w:rPr>
              <w:t>580,189,545</w:t>
            </w:r>
          </w:p>
        </w:tc>
        <w:tc>
          <w:tcPr>
            <w:tcW w:w="1842" w:type="dxa"/>
            <w:noWrap/>
            <w:hideMark/>
          </w:tcPr>
          <w:p w:rsidR="007F6E6A" w:rsidRPr="00BE27A2" w:rsidRDefault="007F6E6A" w:rsidP="000F3C0C">
            <w:pPr>
              <w:ind w:left="0" w:firstLine="0"/>
              <w:contextualSpacing/>
              <w:jc w:val="center"/>
              <w:rPr>
                <w:rFonts w:cs="Arial"/>
              </w:rPr>
            </w:pPr>
            <w:r w:rsidRPr="00BE27A2">
              <w:rPr>
                <w:rFonts w:cs="Arial"/>
              </w:rPr>
              <w:t>35</w:t>
            </w:r>
          </w:p>
        </w:tc>
        <w:tc>
          <w:tcPr>
            <w:tcW w:w="1650" w:type="dxa"/>
            <w:noWrap/>
          </w:tcPr>
          <w:p w:rsidR="007F6E6A" w:rsidRPr="00BE27A2" w:rsidRDefault="007F6E6A" w:rsidP="000F3C0C">
            <w:pPr>
              <w:ind w:left="0" w:firstLine="0"/>
              <w:contextualSpacing/>
              <w:jc w:val="right"/>
              <w:rPr>
                <w:rFonts w:cs="Arial"/>
              </w:rPr>
            </w:pPr>
            <w:r>
              <w:rPr>
                <w:rFonts w:cs="Arial"/>
              </w:rPr>
              <w:t>$320,202</w:t>
            </w:r>
          </w:p>
        </w:tc>
      </w:tr>
      <w:tr w:rsidR="007F6E6A" w:rsidRPr="00BE27A2" w:rsidTr="006061B9">
        <w:trPr>
          <w:trHeight w:val="285"/>
        </w:trPr>
        <w:tc>
          <w:tcPr>
            <w:tcW w:w="1174" w:type="dxa"/>
            <w:noWrap/>
            <w:hideMark/>
          </w:tcPr>
          <w:p w:rsidR="007F6E6A" w:rsidRPr="00636009" w:rsidRDefault="007F6E6A" w:rsidP="000F3C0C">
            <w:pPr>
              <w:ind w:left="0" w:firstLine="0"/>
              <w:contextualSpacing/>
              <w:rPr>
                <w:rFonts w:cs="Arial"/>
                <w:b/>
              </w:rPr>
            </w:pPr>
            <w:r w:rsidRPr="00636009">
              <w:rPr>
                <w:rFonts w:cs="Arial"/>
                <w:b/>
              </w:rPr>
              <w:t>V</w:t>
            </w:r>
            <w:r>
              <w:rPr>
                <w:rFonts w:cs="Arial"/>
                <w:b/>
              </w:rPr>
              <w:t>IC</w:t>
            </w:r>
          </w:p>
        </w:tc>
        <w:tc>
          <w:tcPr>
            <w:tcW w:w="1276" w:type="dxa"/>
            <w:noWrap/>
          </w:tcPr>
          <w:p w:rsidR="007F6E6A" w:rsidRPr="00BE27A2" w:rsidRDefault="007F6E6A" w:rsidP="000F3C0C">
            <w:pPr>
              <w:ind w:left="0" w:firstLine="0"/>
              <w:contextualSpacing/>
              <w:jc w:val="right"/>
              <w:rPr>
                <w:rFonts w:cs="Arial"/>
              </w:rPr>
            </w:pPr>
            <w:r>
              <w:rPr>
                <w:rFonts w:cs="Arial"/>
              </w:rPr>
              <w:t>5020</w:t>
            </w:r>
          </w:p>
        </w:tc>
        <w:tc>
          <w:tcPr>
            <w:tcW w:w="1134" w:type="dxa"/>
            <w:noWrap/>
          </w:tcPr>
          <w:p w:rsidR="007F6E6A" w:rsidRPr="00BE27A2" w:rsidRDefault="007F6E6A" w:rsidP="000F3C0C">
            <w:pPr>
              <w:ind w:left="0" w:firstLine="0"/>
              <w:contextualSpacing/>
              <w:jc w:val="center"/>
              <w:rPr>
                <w:rFonts w:cs="Arial"/>
              </w:rPr>
            </w:pPr>
            <w:r>
              <w:rPr>
                <w:rFonts w:cs="Arial"/>
              </w:rPr>
              <w:t>5.5</w:t>
            </w:r>
          </w:p>
        </w:tc>
        <w:tc>
          <w:tcPr>
            <w:tcW w:w="2268" w:type="dxa"/>
            <w:noWrap/>
            <w:hideMark/>
          </w:tcPr>
          <w:p w:rsidR="007F6E6A" w:rsidRPr="00BE27A2" w:rsidRDefault="007F6E6A" w:rsidP="000F3C0C">
            <w:pPr>
              <w:ind w:left="0" w:firstLine="0"/>
              <w:contextualSpacing/>
              <w:jc w:val="right"/>
              <w:rPr>
                <w:rFonts w:cs="Arial"/>
              </w:rPr>
            </w:pPr>
            <w:r w:rsidRPr="00BE27A2">
              <w:rPr>
                <w:rFonts w:cs="Arial"/>
              </w:rPr>
              <w:t>$1,</w:t>
            </w:r>
            <w:r>
              <w:rPr>
                <w:rFonts w:cs="Arial"/>
              </w:rPr>
              <w:t>454,098,545</w:t>
            </w:r>
          </w:p>
        </w:tc>
        <w:tc>
          <w:tcPr>
            <w:tcW w:w="1842" w:type="dxa"/>
            <w:noWrap/>
            <w:hideMark/>
          </w:tcPr>
          <w:p w:rsidR="007F6E6A" w:rsidRPr="00BE27A2" w:rsidRDefault="007F6E6A" w:rsidP="000F3C0C">
            <w:pPr>
              <w:ind w:left="0" w:firstLine="0"/>
              <w:contextualSpacing/>
              <w:jc w:val="center"/>
              <w:rPr>
                <w:rFonts w:cs="Arial"/>
              </w:rPr>
            </w:pPr>
            <w:r w:rsidRPr="00BE27A2">
              <w:rPr>
                <w:rFonts w:cs="Arial"/>
              </w:rPr>
              <w:t>27</w:t>
            </w:r>
          </w:p>
        </w:tc>
        <w:tc>
          <w:tcPr>
            <w:tcW w:w="1650" w:type="dxa"/>
            <w:noWrap/>
          </w:tcPr>
          <w:p w:rsidR="007F6E6A" w:rsidRPr="00BE27A2" w:rsidRDefault="007F6E6A" w:rsidP="000F3C0C">
            <w:pPr>
              <w:ind w:left="0" w:firstLine="0"/>
              <w:contextualSpacing/>
              <w:jc w:val="right"/>
              <w:rPr>
                <w:rFonts w:cs="Arial"/>
              </w:rPr>
            </w:pPr>
            <w:r>
              <w:rPr>
                <w:rFonts w:cs="Arial"/>
              </w:rPr>
              <w:t>$289,661</w:t>
            </w:r>
          </w:p>
        </w:tc>
      </w:tr>
      <w:tr w:rsidR="007F6E6A" w:rsidRPr="00BE27A2" w:rsidTr="006061B9">
        <w:trPr>
          <w:trHeight w:val="285"/>
        </w:trPr>
        <w:tc>
          <w:tcPr>
            <w:tcW w:w="1174" w:type="dxa"/>
            <w:noWrap/>
            <w:hideMark/>
          </w:tcPr>
          <w:p w:rsidR="007F6E6A" w:rsidRPr="00636009" w:rsidRDefault="007F6E6A" w:rsidP="000F3C0C">
            <w:pPr>
              <w:ind w:left="0" w:firstLine="0"/>
              <w:contextualSpacing/>
              <w:rPr>
                <w:rFonts w:cs="Arial"/>
                <w:b/>
              </w:rPr>
            </w:pPr>
            <w:r w:rsidRPr="00636009">
              <w:rPr>
                <w:rFonts w:cs="Arial"/>
                <w:b/>
              </w:rPr>
              <w:t>Q</w:t>
            </w:r>
            <w:r>
              <w:rPr>
                <w:rFonts w:cs="Arial"/>
                <w:b/>
              </w:rPr>
              <w:t>LD</w:t>
            </w:r>
          </w:p>
        </w:tc>
        <w:tc>
          <w:tcPr>
            <w:tcW w:w="1276" w:type="dxa"/>
            <w:noWrap/>
          </w:tcPr>
          <w:p w:rsidR="007F6E6A" w:rsidRPr="00BE27A2" w:rsidRDefault="007F6E6A" w:rsidP="000F3C0C">
            <w:pPr>
              <w:ind w:left="0" w:firstLine="0"/>
              <w:contextualSpacing/>
              <w:jc w:val="right"/>
              <w:rPr>
                <w:rFonts w:cs="Arial"/>
              </w:rPr>
            </w:pPr>
            <w:r>
              <w:rPr>
                <w:rFonts w:cs="Arial"/>
              </w:rPr>
              <w:t>4173</w:t>
            </w:r>
          </w:p>
        </w:tc>
        <w:tc>
          <w:tcPr>
            <w:tcW w:w="1134" w:type="dxa"/>
            <w:noWrap/>
          </w:tcPr>
          <w:p w:rsidR="007F6E6A" w:rsidRPr="00BE27A2" w:rsidRDefault="007F6E6A" w:rsidP="000F3C0C">
            <w:pPr>
              <w:ind w:left="0" w:firstLine="0"/>
              <w:contextualSpacing/>
              <w:jc w:val="center"/>
              <w:rPr>
                <w:rFonts w:cs="Arial"/>
              </w:rPr>
            </w:pPr>
            <w:r>
              <w:rPr>
                <w:rFonts w:cs="Arial"/>
              </w:rPr>
              <w:t>6.8</w:t>
            </w:r>
          </w:p>
        </w:tc>
        <w:tc>
          <w:tcPr>
            <w:tcW w:w="2268" w:type="dxa"/>
            <w:noWrap/>
            <w:hideMark/>
          </w:tcPr>
          <w:p w:rsidR="007F6E6A" w:rsidRPr="00BE27A2" w:rsidRDefault="007F6E6A" w:rsidP="000F3C0C">
            <w:pPr>
              <w:ind w:left="0" w:firstLine="0"/>
              <w:contextualSpacing/>
              <w:jc w:val="right"/>
              <w:rPr>
                <w:rFonts w:cs="Arial"/>
              </w:rPr>
            </w:pPr>
            <w:r w:rsidRPr="00BE27A2">
              <w:rPr>
                <w:rFonts w:cs="Arial"/>
              </w:rPr>
              <w:t>$1,</w:t>
            </w:r>
            <w:r>
              <w:rPr>
                <w:rFonts w:cs="Arial"/>
              </w:rPr>
              <w:t>385,816,722</w:t>
            </w:r>
          </w:p>
        </w:tc>
        <w:tc>
          <w:tcPr>
            <w:tcW w:w="1842" w:type="dxa"/>
            <w:noWrap/>
            <w:hideMark/>
          </w:tcPr>
          <w:p w:rsidR="007F6E6A" w:rsidRPr="00BE27A2" w:rsidRDefault="007F6E6A" w:rsidP="000F3C0C">
            <w:pPr>
              <w:ind w:left="0" w:firstLine="0"/>
              <w:contextualSpacing/>
              <w:jc w:val="center"/>
              <w:rPr>
                <w:rFonts w:cs="Arial"/>
              </w:rPr>
            </w:pPr>
            <w:r>
              <w:rPr>
                <w:rFonts w:cs="Arial"/>
              </w:rPr>
              <w:t>29</w:t>
            </w:r>
          </w:p>
        </w:tc>
        <w:tc>
          <w:tcPr>
            <w:tcW w:w="1650" w:type="dxa"/>
            <w:noWrap/>
          </w:tcPr>
          <w:p w:rsidR="007F6E6A" w:rsidRPr="00BE27A2" w:rsidRDefault="007F6E6A" w:rsidP="000F3C0C">
            <w:pPr>
              <w:ind w:left="0" w:firstLine="0"/>
              <w:contextualSpacing/>
              <w:jc w:val="right"/>
              <w:rPr>
                <w:rFonts w:cs="Arial"/>
              </w:rPr>
            </w:pPr>
            <w:r>
              <w:rPr>
                <w:rFonts w:cs="Arial"/>
              </w:rPr>
              <w:t>$332,091</w:t>
            </w:r>
          </w:p>
        </w:tc>
      </w:tr>
      <w:tr w:rsidR="007F6E6A" w:rsidRPr="00BE27A2" w:rsidTr="006061B9">
        <w:trPr>
          <w:trHeight w:val="285"/>
        </w:trPr>
        <w:tc>
          <w:tcPr>
            <w:tcW w:w="1174" w:type="dxa"/>
            <w:noWrap/>
            <w:hideMark/>
          </w:tcPr>
          <w:p w:rsidR="007F6E6A" w:rsidRPr="00636009" w:rsidRDefault="007F6E6A" w:rsidP="000F3C0C">
            <w:pPr>
              <w:ind w:left="0" w:firstLine="0"/>
              <w:contextualSpacing/>
              <w:rPr>
                <w:rFonts w:cs="Arial"/>
                <w:b/>
              </w:rPr>
            </w:pPr>
            <w:r w:rsidRPr="00636009">
              <w:rPr>
                <w:rFonts w:cs="Arial"/>
                <w:b/>
              </w:rPr>
              <w:t>WA</w:t>
            </w:r>
          </w:p>
        </w:tc>
        <w:tc>
          <w:tcPr>
            <w:tcW w:w="1276" w:type="dxa"/>
            <w:noWrap/>
          </w:tcPr>
          <w:p w:rsidR="007F6E6A" w:rsidRPr="00BE27A2" w:rsidRDefault="007F6E6A" w:rsidP="000F3C0C">
            <w:pPr>
              <w:ind w:left="0" w:firstLine="0"/>
              <w:contextualSpacing/>
              <w:jc w:val="right"/>
              <w:rPr>
                <w:rFonts w:cs="Arial"/>
              </w:rPr>
            </w:pPr>
            <w:r>
              <w:rPr>
                <w:rFonts w:cs="Arial"/>
              </w:rPr>
              <w:t>1278</w:t>
            </w:r>
          </w:p>
        </w:tc>
        <w:tc>
          <w:tcPr>
            <w:tcW w:w="1134" w:type="dxa"/>
            <w:noWrap/>
          </w:tcPr>
          <w:p w:rsidR="007F6E6A" w:rsidRPr="00BE27A2" w:rsidRDefault="007F6E6A" w:rsidP="000F3C0C">
            <w:pPr>
              <w:ind w:left="0" w:firstLine="0"/>
              <w:contextualSpacing/>
              <w:jc w:val="center"/>
              <w:rPr>
                <w:rFonts w:cs="Arial"/>
              </w:rPr>
            </w:pPr>
            <w:r>
              <w:rPr>
                <w:rFonts w:cs="Arial"/>
              </w:rPr>
              <w:t>5.3</w:t>
            </w:r>
          </w:p>
        </w:tc>
        <w:tc>
          <w:tcPr>
            <w:tcW w:w="2268" w:type="dxa"/>
            <w:noWrap/>
            <w:hideMark/>
          </w:tcPr>
          <w:p w:rsidR="007F6E6A" w:rsidRPr="00BE27A2" w:rsidRDefault="007F6E6A" w:rsidP="000F3C0C">
            <w:pPr>
              <w:ind w:left="0" w:firstLine="0"/>
              <w:contextualSpacing/>
              <w:jc w:val="right"/>
              <w:rPr>
                <w:rFonts w:cs="Arial"/>
              </w:rPr>
            </w:pPr>
            <w:r>
              <w:rPr>
                <w:rFonts w:cs="Arial"/>
              </w:rPr>
              <w:t>$339,636,625</w:t>
            </w:r>
          </w:p>
        </w:tc>
        <w:tc>
          <w:tcPr>
            <w:tcW w:w="1842" w:type="dxa"/>
            <w:noWrap/>
            <w:hideMark/>
          </w:tcPr>
          <w:p w:rsidR="007F6E6A" w:rsidRPr="00BE27A2" w:rsidRDefault="007F6E6A" w:rsidP="000F3C0C">
            <w:pPr>
              <w:ind w:left="0" w:firstLine="0"/>
              <w:contextualSpacing/>
              <w:jc w:val="center"/>
              <w:rPr>
                <w:rFonts w:cs="Arial"/>
              </w:rPr>
            </w:pPr>
            <w:r>
              <w:rPr>
                <w:rFonts w:cs="Arial"/>
              </w:rPr>
              <w:t>23</w:t>
            </w:r>
          </w:p>
        </w:tc>
        <w:tc>
          <w:tcPr>
            <w:tcW w:w="1650" w:type="dxa"/>
            <w:noWrap/>
          </w:tcPr>
          <w:p w:rsidR="007F6E6A" w:rsidRPr="00BE27A2" w:rsidRDefault="007F6E6A" w:rsidP="000F3C0C">
            <w:pPr>
              <w:ind w:left="0" w:firstLine="0"/>
              <w:contextualSpacing/>
              <w:jc w:val="right"/>
              <w:rPr>
                <w:rFonts w:cs="Arial"/>
              </w:rPr>
            </w:pPr>
            <w:r>
              <w:rPr>
                <w:rFonts w:cs="Arial"/>
              </w:rPr>
              <w:t>$265,756</w:t>
            </w:r>
          </w:p>
        </w:tc>
      </w:tr>
      <w:tr w:rsidR="007F6E6A" w:rsidRPr="00BE27A2" w:rsidTr="006061B9">
        <w:trPr>
          <w:trHeight w:val="285"/>
        </w:trPr>
        <w:tc>
          <w:tcPr>
            <w:tcW w:w="1174" w:type="dxa"/>
            <w:noWrap/>
            <w:hideMark/>
          </w:tcPr>
          <w:p w:rsidR="007F6E6A" w:rsidRPr="00636009" w:rsidRDefault="007F6E6A" w:rsidP="000F3C0C">
            <w:pPr>
              <w:ind w:left="0" w:firstLine="0"/>
              <w:contextualSpacing/>
              <w:rPr>
                <w:rFonts w:cs="Arial"/>
                <w:b/>
              </w:rPr>
            </w:pPr>
            <w:r w:rsidRPr="00636009">
              <w:rPr>
                <w:rFonts w:cs="Arial"/>
                <w:b/>
              </w:rPr>
              <w:t>SA</w:t>
            </w:r>
          </w:p>
        </w:tc>
        <w:tc>
          <w:tcPr>
            <w:tcW w:w="1276" w:type="dxa"/>
            <w:noWrap/>
          </w:tcPr>
          <w:p w:rsidR="007F6E6A" w:rsidRPr="00BE27A2" w:rsidRDefault="007F6E6A" w:rsidP="000F3C0C">
            <w:pPr>
              <w:ind w:left="0" w:firstLine="0"/>
              <w:contextualSpacing/>
              <w:jc w:val="right"/>
              <w:rPr>
                <w:rFonts w:cs="Arial"/>
              </w:rPr>
            </w:pPr>
            <w:r>
              <w:rPr>
                <w:rFonts w:cs="Arial"/>
              </w:rPr>
              <w:t>2174</w:t>
            </w:r>
          </w:p>
        </w:tc>
        <w:tc>
          <w:tcPr>
            <w:tcW w:w="1134" w:type="dxa"/>
            <w:noWrap/>
          </w:tcPr>
          <w:p w:rsidR="007F6E6A" w:rsidRPr="00BE27A2" w:rsidRDefault="007F6E6A" w:rsidP="000F3C0C">
            <w:pPr>
              <w:ind w:left="0" w:firstLine="0"/>
              <w:contextualSpacing/>
              <w:jc w:val="center"/>
              <w:rPr>
                <w:rFonts w:cs="Arial"/>
              </w:rPr>
            </w:pPr>
            <w:r>
              <w:rPr>
                <w:rFonts w:cs="Arial"/>
              </w:rPr>
              <w:t>7.0</w:t>
            </w:r>
          </w:p>
        </w:tc>
        <w:tc>
          <w:tcPr>
            <w:tcW w:w="2268" w:type="dxa"/>
            <w:noWrap/>
            <w:hideMark/>
          </w:tcPr>
          <w:p w:rsidR="007F6E6A" w:rsidRPr="00BE27A2" w:rsidRDefault="007F6E6A" w:rsidP="000F3C0C">
            <w:pPr>
              <w:ind w:left="0" w:firstLine="0"/>
              <w:contextualSpacing/>
              <w:jc w:val="right"/>
              <w:rPr>
                <w:rFonts w:cs="Arial"/>
              </w:rPr>
            </w:pPr>
            <w:r w:rsidRPr="00BE27A2">
              <w:rPr>
                <w:rFonts w:cs="Arial"/>
              </w:rPr>
              <w:t>$</w:t>
            </w:r>
            <w:r>
              <w:rPr>
                <w:rFonts w:cs="Arial"/>
              </w:rPr>
              <w:t>709,420,554</w:t>
            </w:r>
          </w:p>
        </w:tc>
        <w:tc>
          <w:tcPr>
            <w:tcW w:w="1842" w:type="dxa"/>
            <w:noWrap/>
            <w:hideMark/>
          </w:tcPr>
          <w:p w:rsidR="007F6E6A" w:rsidRPr="00BE27A2" w:rsidRDefault="007F6E6A" w:rsidP="000F3C0C">
            <w:pPr>
              <w:ind w:left="0" w:firstLine="0"/>
              <w:contextualSpacing/>
              <w:jc w:val="center"/>
              <w:rPr>
                <w:rFonts w:cs="Arial"/>
              </w:rPr>
            </w:pPr>
            <w:r>
              <w:rPr>
                <w:rFonts w:cs="Arial"/>
              </w:rPr>
              <w:t>36</w:t>
            </w:r>
          </w:p>
        </w:tc>
        <w:tc>
          <w:tcPr>
            <w:tcW w:w="1650" w:type="dxa"/>
            <w:noWrap/>
          </w:tcPr>
          <w:p w:rsidR="007F6E6A" w:rsidRPr="00BE27A2" w:rsidRDefault="007F6E6A" w:rsidP="000F3C0C">
            <w:pPr>
              <w:ind w:left="0" w:firstLine="0"/>
              <w:contextualSpacing/>
              <w:jc w:val="right"/>
              <w:rPr>
                <w:rFonts w:cs="Arial"/>
              </w:rPr>
            </w:pPr>
            <w:r>
              <w:rPr>
                <w:rFonts w:cs="Arial"/>
              </w:rPr>
              <w:t>$326,320</w:t>
            </w:r>
          </w:p>
        </w:tc>
      </w:tr>
      <w:tr w:rsidR="007F6E6A" w:rsidRPr="00BE27A2" w:rsidTr="006061B9">
        <w:trPr>
          <w:trHeight w:val="285"/>
        </w:trPr>
        <w:tc>
          <w:tcPr>
            <w:tcW w:w="1174" w:type="dxa"/>
            <w:noWrap/>
            <w:hideMark/>
          </w:tcPr>
          <w:p w:rsidR="007F6E6A" w:rsidRPr="00636009" w:rsidRDefault="007F6E6A" w:rsidP="000F3C0C">
            <w:pPr>
              <w:ind w:left="0" w:firstLine="0"/>
              <w:contextualSpacing/>
              <w:rPr>
                <w:rFonts w:cs="Arial"/>
                <w:b/>
              </w:rPr>
            </w:pPr>
            <w:r w:rsidRPr="00636009">
              <w:rPr>
                <w:rFonts w:cs="Arial"/>
                <w:b/>
              </w:rPr>
              <w:t>T</w:t>
            </w:r>
            <w:r>
              <w:rPr>
                <w:rFonts w:cs="Arial"/>
                <w:b/>
              </w:rPr>
              <w:t>AS</w:t>
            </w:r>
          </w:p>
        </w:tc>
        <w:tc>
          <w:tcPr>
            <w:tcW w:w="1276" w:type="dxa"/>
            <w:noWrap/>
          </w:tcPr>
          <w:p w:rsidR="007F6E6A" w:rsidRPr="00BE27A2" w:rsidRDefault="007F6E6A" w:rsidP="000F3C0C">
            <w:pPr>
              <w:ind w:left="0" w:firstLine="0"/>
              <w:contextualSpacing/>
              <w:jc w:val="right"/>
              <w:rPr>
                <w:rFonts w:cs="Arial"/>
              </w:rPr>
            </w:pPr>
            <w:r>
              <w:rPr>
                <w:rFonts w:cs="Arial"/>
              </w:rPr>
              <w:t>820</w:t>
            </w:r>
          </w:p>
        </w:tc>
        <w:tc>
          <w:tcPr>
            <w:tcW w:w="1134" w:type="dxa"/>
            <w:noWrap/>
          </w:tcPr>
          <w:p w:rsidR="007F6E6A" w:rsidRPr="00BE27A2" w:rsidRDefault="007F6E6A" w:rsidP="000F3C0C">
            <w:pPr>
              <w:ind w:left="0" w:firstLine="0"/>
              <w:contextualSpacing/>
              <w:jc w:val="center"/>
              <w:rPr>
                <w:rFonts w:cs="Arial"/>
              </w:rPr>
            </w:pPr>
            <w:r>
              <w:rPr>
                <w:rFonts w:cs="Arial"/>
              </w:rPr>
              <w:t>10.7</w:t>
            </w:r>
          </w:p>
        </w:tc>
        <w:tc>
          <w:tcPr>
            <w:tcW w:w="2268" w:type="dxa"/>
            <w:noWrap/>
            <w:hideMark/>
          </w:tcPr>
          <w:p w:rsidR="007F6E6A" w:rsidRPr="00BE27A2" w:rsidRDefault="007F6E6A" w:rsidP="000F3C0C">
            <w:pPr>
              <w:ind w:left="0" w:firstLine="0"/>
              <w:contextualSpacing/>
              <w:jc w:val="right"/>
              <w:rPr>
                <w:rFonts w:cs="Arial"/>
              </w:rPr>
            </w:pPr>
            <w:r w:rsidRPr="00BE27A2">
              <w:rPr>
                <w:rFonts w:cs="Arial"/>
              </w:rPr>
              <w:t>$</w:t>
            </w:r>
            <w:r>
              <w:rPr>
                <w:rFonts w:cs="Arial"/>
              </w:rPr>
              <w:t>282,595,810</w:t>
            </w:r>
          </w:p>
        </w:tc>
        <w:tc>
          <w:tcPr>
            <w:tcW w:w="1842" w:type="dxa"/>
            <w:noWrap/>
            <w:hideMark/>
          </w:tcPr>
          <w:p w:rsidR="007F6E6A" w:rsidRPr="00BE27A2" w:rsidRDefault="007F6E6A" w:rsidP="000F3C0C">
            <w:pPr>
              <w:ind w:left="0" w:firstLine="0"/>
              <w:contextualSpacing/>
              <w:jc w:val="center"/>
              <w:rPr>
                <w:rFonts w:cs="Arial"/>
              </w:rPr>
            </w:pPr>
            <w:r>
              <w:rPr>
                <w:rFonts w:cs="Arial"/>
              </w:rPr>
              <w:t>46</w:t>
            </w:r>
          </w:p>
        </w:tc>
        <w:tc>
          <w:tcPr>
            <w:tcW w:w="1650" w:type="dxa"/>
            <w:noWrap/>
          </w:tcPr>
          <w:p w:rsidR="007F6E6A" w:rsidRPr="00BE27A2" w:rsidRDefault="007F6E6A" w:rsidP="000F3C0C">
            <w:pPr>
              <w:ind w:left="0" w:firstLine="0"/>
              <w:contextualSpacing/>
              <w:jc w:val="right"/>
              <w:rPr>
                <w:rFonts w:cs="Arial"/>
              </w:rPr>
            </w:pPr>
            <w:r>
              <w:rPr>
                <w:rFonts w:cs="Arial"/>
              </w:rPr>
              <w:t>$344,629</w:t>
            </w:r>
          </w:p>
        </w:tc>
      </w:tr>
      <w:tr w:rsidR="007F6E6A" w:rsidRPr="00BE27A2" w:rsidTr="006061B9">
        <w:trPr>
          <w:trHeight w:val="285"/>
        </w:trPr>
        <w:tc>
          <w:tcPr>
            <w:tcW w:w="1174" w:type="dxa"/>
            <w:noWrap/>
            <w:hideMark/>
          </w:tcPr>
          <w:p w:rsidR="007F6E6A" w:rsidRPr="00636009" w:rsidRDefault="007F6E6A" w:rsidP="000F3C0C">
            <w:pPr>
              <w:ind w:left="0" w:firstLine="0"/>
              <w:contextualSpacing/>
              <w:rPr>
                <w:rFonts w:cs="Arial"/>
                <w:b/>
              </w:rPr>
            </w:pPr>
            <w:r w:rsidRPr="00636009">
              <w:rPr>
                <w:rFonts w:cs="Arial"/>
                <w:b/>
              </w:rPr>
              <w:t>ACT</w:t>
            </w:r>
          </w:p>
        </w:tc>
        <w:tc>
          <w:tcPr>
            <w:tcW w:w="1276" w:type="dxa"/>
            <w:noWrap/>
          </w:tcPr>
          <w:p w:rsidR="007F6E6A" w:rsidRPr="00BE27A2" w:rsidRDefault="007F6E6A" w:rsidP="000F3C0C">
            <w:pPr>
              <w:ind w:left="0" w:firstLine="0"/>
              <w:contextualSpacing/>
              <w:jc w:val="right"/>
              <w:rPr>
                <w:rFonts w:cs="Arial"/>
              </w:rPr>
            </w:pPr>
            <w:r>
              <w:rPr>
                <w:rFonts w:cs="Arial"/>
              </w:rPr>
              <w:t>422</w:t>
            </w:r>
          </w:p>
        </w:tc>
        <w:tc>
          <w:tcPr>
            <w:tcW w:w="1134" w:type="dxa"/>
            <w:noWrap/>
          </w:tcPr>
          <w:p w:rsidR="007F6E6A" w:rsidRPr="00BE27A2" w:rsidRDefault="007F6E6A" w:rsidP="000F3C0C">
            <w:pPr>
              <w:ind w:left="0" w:firstLine="0"/>
              <w:contextualSpacing/>
              <w:jc w:val="center"/>
              <w:rPr>
                <w:rFonts w:cs="Arial"/>
              </w:rPr>
            </w:pPr>
            <w:r>
              <w:rPr>
                <w:rFonts w:cs="Arial"/>
              </w:rPr>
              <w:t>5.8</w:t>
            </w:r>
          </w:p>
        </w:tc>
        <w:tc>
          <w:tcPr>
            <w:tcW w:w="2268" w:type="dxa"/>
            <w:noWrap/>
            <w:hideMark/>
          </w:tcPr>
          <w:p w:rsidR="007F6E6A" w:rsidRPr="00BE27A2" w:rsidRDefault="007F6E6A" w:rsidP="000F3C0C">
            <w:pPr>
              <w:ind w:left="0" w:firstLine="0"/>
              <w:contextualSpacing/>
              <w:jc w:val="right"/>
              <w:rPr>
                <w:rFonts w:cs="Arial"/>
              </w:rPr>
            </w:pPr>
            <w:r w:rsidRPr="00BE27A2">
              <w:rPr>
                <w:rFonts w:cs="Arial"/>
              </w:rPr>
              <w:t>$</w:t>
            </w:r>
            <w:r>
              <w:rPr>
                <w:rFonts w:cs="Arial"/>
              </w:rPr>
              <w:t>138,284,931</w:t>
            </w:r>
          </w:p>
        </w:tc>
        <w:tc>
          <w:tcPr>
            <w:tcW w:w="1842" w:type="dxa"/>
            <w:noWrap/>
            <w:hideMark/>
          </w:tcPr>
          <w:p w:rsidR="007F6E6A" w:rsidRPr="00BE27A2" w:rsidRDefault="007F6E6A" w:rsidP="000F3C0C">
            <w:pPr>
              <w:ind w:left="0" w:firstLine="0"/>
              <w:contextualSpacing/>
              <w:jc w:val="center"/>
              <w:rPr>
                <w:rFonts w:cs="Arial"/>
              </w:rPr>
            </w:pPr>
            <w:r w:rsidRPr="00BE27A2">
              <w:rPr>
                <w:rFonts w:cs="Arial"/>
              </w:rPr>
              <w:t>3</w:t>
            </w:r>
            <w:r>
              <w:rPr>
                <w:rFonts w:cs="Arial"/>
              </w:rPr>
              <w:t>3</w:t>
            </w:r>
          </w:p>
        </w:tc>
        <w:tc>
          <w:tcPr>
            <w:tcW w:w="1650" w:type="dxa"/>
            <w:noWrap/>
          </w:tcPr>
          <w:p w:rsidR="007F6E6A" w:rsidRPr="00BE27A2" w:rsidRDefault="007F6E6A" w:rsidP="000F3C0C">
            <w:pPr>
              <w:ind w:left="0" w:firstLine="0"/>
              <w:contextualSpacing/>
              <w:jc w:val="right"/>
              <w:rPr>
                <w:rFonts w:cs="Arial"/>
              </w:rPr>
            </w:pPr>
            <w:r>
              <w:rPr>
                <w:rFonts w:cs="Arial"/>
              </w:rPr>
              <w:t>$327,689</w:t>
            </w:r>
          </w:p>
        </w:tc>
      </w:tr>
      <w:tr w:rsidR="007F6E6A" w:rsidRPr="00BE27A2" w:rsidTr="006061B9">
        <w:trPr>
          <w:trHeight w:val="285"/>
        </w:trPr>
        <w:tc>
          <w:tcPr>
            <w:tcW w:w="1174" w:type="dxa"/>
            <w:noWrap/>
            <w:hideMark/>
          </w:tcPr>
          <w:p w:rsidR="007F6E6A" w:rsidRPr="00636009" w:rsidRDefault="007F6E6A" w:rsidP="000F3C0C">
            <w:pPr>
              <w:ind w:left="0" w:firstLine="0"/>
              <w:contextualSpacing/>
              <w:rPr>
                <w:rFonts w:cs="Arial"/>
                <w:b/>
              </w:rPr>
            </w:pPr>
            <w:r w:rsidRPr="00636009">
              <w:rPr>
                <w:rFonts w:cs="Arial"/>
                <w:b/>
              </w:rPr>
              <w:t>NT</w:t>
            </w:r>
          </w:p>
        </w:tc>
        <w:tc>
          <w:tcPr>
            <w:tcW w:w="1276" w:type="dxa"/>
            <w:noWrap/>
          </w:tcPr>
          <w:p w:rsidR="007F6E6A" w:rsidRPr="00BE27A2" w:rsidRDefault="007F6E6A" w:rsidP="000F3C0C">
            <w:pPr>
              <w:ind w:left="0" w:firstLine="0"/>
              <w:contextualSpacing/>
              <w:jc w:val="right"/>
              <w:rPr>
                <w:rFonts w:cs="Arial"/>
              </w:rPr>
            </w:pPr>
            <w:r>
              <w:rPr>
                <w:rFonts w:cs="Arial"/>
              </w:rPr>
              <w:t>332</w:t>
            </w:r>
          </w:p>
        </w:tc>
        <w:tc>
          <w:tcPr>
            <w:tcW w:w="1134" w:type="dxa"/>
            <w:noWrap/>
          </w:tcPr>
          <w:p w:rsidR="007F6E6A" w:rsidRPr="00BE27A2" w:rsidRDefault="007F6E6A" w:rsidP="000F3C0C">
            <w:pPr>
              <w:ind w:left="0" w:firstLine="0"/>
              <w:contextualSpacing/>
              <w:jc w:val="center"/>
              <w:rPr>
                <w:rFonts w:cs="Arial"/>
              </w:rPr>
            </w:pPr>
            <w:r>
              <w:rPr>
                <w:rFonts w:cs="Arial"/>
              </w:rPr>
              <w:t>11.8</w:t>
            </w:r>
          </w:p>
        </w:tc>
        <w:tc>
          <w:tcPr>
            <w:tcW w:w="2268" w:type="dxa"/>
            <w:noWrap/>
            <w:hideMark/>
          </w:tcPr>
          <w:p w:rsidR="007F6E6A" w:rsidRPr="00BE27A2" w:rsidRDefault="007F6E6A" w:rsidP="000F3C0C">
            <w:pPr>
              <w:ind w:left="0" w:firstLine="0"/>
              <w:contextualSpacing/>
              <w:jc w:val="right"/>
              <w:rPr>
                <w:rFonts w:cs="Arial"/>
              </w:rPr>
            </w:pPr>
            <w:r w:rsidRPr="00BE27A2">
              <w:rPr>
                <w:rFonts w:cs="Arial"/>
              </w:rPr>
              <w:t>$1</w:t>
            </w:r>
            <w:r>
              <w:rPr>
                <w:rFonts w:cs="Arial"/>
              </w:rPr>
              <w:t>75,993,238</w:t>
            </w:r>
          </w:p>
        </w:tc>
        <w:tc>
          <w:tcPr>
            <w:tcW w:w="1842" w:type="dxa"/>
            <w:noWrap/>
            <w:hideMark/>
          </w:tcPr>
          <w:p w:rsidR="007F6E6A" w:rsidRPr="00BE27A2" w:rsidRDefault="007F6E6A" w:rsidP="000F3C0C">
            <w:pPr>
              <w:ind w:left="0" w:firstLine="0"/>
              <w:contextualSpacing/>
              <w:jc w:val="center"/>
              <w:rPr>
                <w:rFonts w:cs="Arial"/>
              </w:rPr>
            </w:pPr>
            <w:r w:rsidRPr="00BE27A2">
              <w:rPr>
                <w:rFonts w:cs="Arial"/>
              </w:rPr>
              <w:t>4</w:t>
            </w:r>
            <w:r>
              <w:rPr>
                <w:rFonts w:cs="Arial"/>
              </w:rPr>
              <w:t>8</w:t>
            </w:r>
          </w:p>
        </w:tc>
        <w:tc>
          <w:tcPr>
            <w:tcW w:w="1650" w:type="dxa"/>
            <w:noWrap/>
          </w:tcPr>
          <w:p w:rsidR="007F6E6A" w:rsidRPr="00BE27A2" w:rsidRDefault="007F6E6A" w:rsidP="000F3C0C">
            <w:pPr>
              <w:ind w:left="0" w:firstLine="0"/>
              <w:contextualSpacing/>
              <w:jc w:val="right"/>
              <w:rPr>
                <w:rFonts w:cs="Arial"/>
              </w:rPr>
            </w:pPr>
            <w:r>
              <w:rPr>
                <w:rFonts w:cs="Arial"/>
              </w:rPr>
              <w:t>$530,100</w:t>
            </w:r>
          </w:p>
        </w:tc>
      </w:tr>
      <w:tr w:rsidR="007F6E6A" w:rsidRPr="00BE27A2" w:rsidTr="006061B9">
        <w:trPr>
          <w:trHeight w:val="285"/>
        </w:trPr>
        <w:tc>
          <w:tcPr>
            <w:tcW w:w="1174" w:type="dxa"/>
            <w:noWrap/>
            <w:hideMark/>
          </w:tcPr>
          <w:p w:rsidR="007F6E6A" w:rsidRPr="00636009" w:rsidRDefault="007F6E6A" w:rsidP="000F3C0C">
            <w:pPr>
              <w:ind w:left="0" w:firstLine="0"/>
              <w:contextualSpacing/>
              <w:rPr>
                <w:rFonts w:cs="Arial"/>
                <w:b/>
              </w:rPr>
            </w:pPr>
            <w:r w:rsidRPr="00636009">
              <w:rPr>
                <w:rFonts w:cs="Arial"/>
                <w:b/>
              </w:rPr>
              <w:t>Total</w:t>
            </w:r>
          </w:p>
        </w:tc>
        <w:tc>
          <w:tcPr>
            <w:tcW w:w="1276" w:type="dxa"/>
            <w:noWrap/>
          </w:tcPr>
          <w:p w:rsidR="007F6E6A" w:rsidRPr="00636009" w:rsidRDefault="007F6E6A" w:rsidP="000F3C0C">
            <w:pPr>
              <w:ind w:left="0" w:firstLine="0"/>
              <w:contextualSpacing/>
              <w:jc w:val="right"/>
              <w:rPr>
                <w:rFonts w:cs="Arial"/>
                <w:b/>
              </w:rPr>
            </w:pPr>
            <w:r>
              <w:rPr>
                <w:rFonts w:cs="Arial"/>
                <w:b/>
              </w:rPr>
              <w:t>22,277</w:t>
            </w:r>
          </w:p>
        </w:tc>
        <w:tc>
          <w:tcPr>
            <w:tcW w:w="1134" w:type="dxa"/>
            <w:noWrap/>
          </w:tcPr>
          <w:p w:rsidR="007F6E6A" w:rsidRPr="00636009" w:rsidRDefault="007F6E6A" w:rsidP="000F3C0C">
            <w:pPr>
              <w:ind w:left="0" w:firstLine="0"/>
              <w:contextualSpacing/>
              <w:jc w:val="center"/>
              <w:rPr>
                <w:rFonts w:cs="Arial"/>
                <w:b/>
              </w:rPr>
            </w:pPr>
            <w:r>
              <w:rPr>
                <w:rFonts w:cs="Arial"/>
                <w:b/>
              </w:rPr>
              <w:t>6.6</w:t>
            </w:r>
          </w:p>
        </w:tc>
        <w:tc>
          <w:tcPr>
            <w:tcW w:w="2268" w:type="dxa"/>
            <w:noWrap/>
            <w:hideMark/>
          </w:tcPr>
          <w:p w:rsidR="007F6E6A" w:rsidRPr="00636009" w:rsidRDefault="007F6E6A" w:rsidP="000F3C0C">
            <w:pPr>
              <w:ind w:left="0" w:firstLine="0"/>
              <w:contextualSpacing/>
              <w:jc w:val="right"/>
              <w:rPr>
                <w:rFonts w:cs="Arial"/>
                <w:b/>
              </w:rPr>
            </w:pPr>
            <w:r w:rsidRPr="00636009">
              <w:rPr>
                <w:rFonts w:cs="Arial"/>
                <w:b/>
              </w:rPr>
              <w:t>$</w:t>
            </w:r>
            <w:r>
              <w:rPr>
                <w:rFonts w:cs="Arial"/>
                <w:b/>
              </w:rPr>
              <w:t>7,066,035,970</w:t>
            </w:r>
          </w:p>
        </w:tc>
        <w:tc>
          <w:tcPr>
            <w:tcW w:w="1842" w:type="dxa"/>
            <w:noWrap/>
            <w:hideMark/>
          </w:tcPr>
          <w:p w:rsidR="007F6E6A" w:rsidRPr="00636009" w:rsidRDefault="007F6E6A" w:rsidP="000F3C0C">
            <w:pPr>
              <w:ind w:left="0" w:firstLine="0"/>
              <w:contextualSpacing/>
              <w:jc w:val="center"/>
              <w:rPr>
                <w:rFonts w:cs="Arial"/>
                <w:b/>
              </w:rPr>
            </w:pPr>
            <w:r>
              <w:rPr>
                <w:rFonts w:cs="Arial"/>
                <w:b/>
              </w:rPr>
              <w:t>32</w:t>
            </w:r>
          </w:p>
        </w:tc>
        <w:tc>
          <w:tcPr>
            <w:tcW w:w="1650" w:type="dxa"/>
            <w:noWrap/>
          </w:tcPr>
          <w:p w:rsidR="007F6E6A" w:rsidRPr="00636009" w:rsidRDefault="007F6E6A" w:rsidP="000F3C0C">
            <w:pPr>
              <w:ind w:left="0" w:firstLine="0"/>
              <w:contextualSpacing/>
              <w:jc w:val="right"/>
              <w:rPr>
                <w:rFonts w:cs="Arial"/>
                <w:b/>
              </w:rPr>
            </w:pPr>
            <w:r>
              <w:rPr>
                <w:rFonts w:cs="Arial"/>
                <w:b/>
              </w:rPr>
              <w:t>$317,189</w:t>
            </w:r>
          </w:p>
        </w:tc>
      </w:tr>
    </w:tbl>
    <w:p w:rsidR="007F6E6A" w:rsidRPr="005D27B5" w:rsidRDefault="007F6E6A" w:rsidP="000F3C0C">
      <w:pPr>
        <w:ind w:left="0" w:firstLine="0"/>
        <w:rPr>
          <w:rFonts w:cs="Arial"/>
        </w:rPr>
      </w:pPr>
      <w:r>
        <w:rPr>
          <w:rFonts w:cs="Arial"/>
        </w:rPr>
        <w:t xml:space="preserve">Almost all participants who receive SDA funding will also receive SIL. Across Australia, 13,683 people currently receive SDA funding (4.0 per cent), at an average rate of </w:t>
      </w:r>
      <w:r w:rsidRPr="005D27B5">
        <w:rPr>
          <w:rFonts w:cs="Arial"/>
        </w:rPr>
        <w:t>$10,848</w:t>
      </w:r>
      <w:r>
        <w:rPr>
          <w:rFonts w:cs="Arial"/>
        </w:rPr>
        <w:t xml:space="preserve"> per annum. The proportion of people with SDA is expected to increase to about 6.0 per cent when the scheme is fully implemented.</w:t>
      </w:r>
      <w:r w:rsidR="00FC37ED">
        <w:rPr>
          <w:rFonts w:cs="Arial"/>
        </w:rPr>
        <w:t xml:space="preserve"> [</w:t>
      </w:r>
      <w:r w:rsidR="00FC37ED" w:rsidRPr="00785C5B">
        <w:rPr>
          <w:rFonts w:cs="Arial"/>
        </w:rPr>
        <w:t xml:space="preserve">NDIA (Apr, 2018) </w:t>
      </w:r>
      <w:hyperlink r:id="rId14" w:history="1">
        <w:r w:rsidR="00FC37ED" w:rsidRPr="00FC37ED">
          <w:rPr>
            <w:rStyle w:val="Hyperlink"/>
            <w:rFonts w:cs="Arial"/>
          </w:rPr>
          <w:t>Specialist Disability Accommodation Provider and Investor Brief</w:t>
        </w:r>
      </w:hyperlink>
      <w:r w:rsidR="00FC37ED">
        <w:rPr>
          <w:rFonts w:cs="Arial"/>
        </w:rPr>
        <w:t>, p5.]</w:t>
      </w:r>
    </w:p>
    <w:p w:rsidR="00B13B6D" w:rsidRPr="00FC37ED" w:rsidRDefault="005C003E" w:rsidP="000F3C0C">
      <w:pPr>
        <w:ind w:left="0" w:firstLine="0"/>
        <w:rPr>
          <w:rFonts w:cs="Arial"/>
        </w:rPr>
      </w:pPr>
      <w:r w:rsidRPr="00FC37ED">
        <w:rPr>
          <w:rFonts w:cs="Arial"/>
        </w:rPr>
        <w:t>A</w:t>
      </w:r>
      <w:r w:rsidR="00D77281" w:rsidRPr="00FC37ED">
        <w:rPr>
          <w:rFonts w:cs="Arial"/>
        </w:rPr>
        <w:t>chiev</w:t>
      </w:r>
      <w:r w:rsidRPr="00FC37ED">
        <w:rPr>
          <w:rFonts w:cs="Arial"/>
        </w:rPr>
        <w:t>ing</w:t>
      </w:r>
      <w:r w:rsidR="00AB0ED2" w:rsidRPr="00FC37ED">
        <w:rPr>
          <w:rFonts w:cs="Arial"/>
        </w:rPr>
        <w:t xml:space="preserve"> a high</w:t>
      </w:r>
      <w:r w:rsidR="008B576B" w:rsidRPr="00FC37ED">
        <w:rPr>
          <w:rFonts w:cs="Arial"/>
        </w:rPr>
        <w:t xml:space="preserve"> quality of life in a group home requires </w:t>
      </w:r>
      <w:r w:rsidR="00B13B6D" w:rsidRPr="00FC37ED">
        <w:rPr>
          <w:rFonts w:cs="Arial"/>
        </w:rPr>
        <w:t xml:space="preserve">adequate </w:t>
      </w:r>
      <w:r w:rsidRPr="00FC37ED">
        <w:rPr>
          <w:rFonts w:cs="Arial"/>
        </w:rPr>
        <w:t>funds</w:t>
      </w:r>
      <w:r w:rsidR="00B13B6D" w:rsidRPr="00FC37ED">
        <w:rPr>
          <w:rFonts w:cs="Arial"/>
        </w:rPr>
        <w:t xml:space="preserve"> for </w:t>
      </w:r>
      <w:r w:rsidR="00D77281" w:rsidRPr="00FC37ED">
        <w:rPr>
          <w:rFonts w:cs="Arial"/>
        </w:rPr>
        <w:t xml:space="preserve">the delivery of </w:t>
      </w:r>
      <w:r w:rsidR="00B13B6D" w:rsidRPr="00FC37ED">
        <w:rPr>
          <w:rFonts w:cs="Arial"/>
        </w:rPr>
        <w:t xml:space="preserve">SIL supports. </w:t>
      </w:r>
      <w:r w:rsidR="00AB0ED2" w:rsidRPr="00FC37ED">
        <w:rPr>
          <w:rFonts w:cs="Arial"/>
        </w:rPr>
        <w:t>Over the past couple of years, p</w:t>
      </w:r>
      <w:r w:rsidR="00B13B6D" w:rsidRPr="00FC37ED">
        <w:rPr>
          <w:rFonts w:cs="Arial"/>
        </w:rPr>
        <w:t xml:space="preserve">ayments </w:t>
      </w:r>
      <w:r w:rsidR="008B576B" w:rsidRPr="00FC37ED">
        <w:rPr>
          <w:rFonts w:cs="Arial"/>
        </w:rPr>
        <w:t xml:space="preserve">problems </w:t>
      </w:r>
      <w:r w:rsidR="00B13B6D" w:rsidRPr="00FC37ED">
        <w:rPr>
          <w:rFonts w:cs="Arial"/>
        </w:rPr>
        <w:t xml:space="preserve">for SIL supports </w:t>
      </w:r>
      <w:r w:rsidR="008B576B" w:rsidRPr="00FC37ED">
        <w:rPr>
          <w:rFonts w:cs="Arial"/>
        </w:rPr>
        <w:t>have caused</w:t>
      </w:r>
      <w:r w:rsidR="00B13B6D" w:rsidRPr="00FC37ED">
        <w:rPr>
          <w:rFonts w:cs="Arial"/>
        </w:rPr>
        <w:t xml:space="preserve"> difficult</w:t>
      </w:r>
      <w:r w:rsidRPr="00FC37ED">
        <w:rPr>
          <w:rFonts w:cs="Arial"/>
        </w:rPr>
        <w:t>ies</w:t>
      </w:r>
      <w:r w:rsidR="00B13B6D" w:rsidRPr="00FC37ED">
        <w:rPr>
          <w:rFonts w:cs="Arial"/>
        </w:rPr>
        <w:t xml:space="preserve"> for providers</w:t>
      </w:r>
      <w:r w:rsidR="008B576B" w:rsidRPr="00FC37ED">
        <w:rPr>
          <w:rFonts w:cs="Arial"/>
        </w:rPr>
        <w:t xml:space="preserve">. </w:t>
      </w:r>
      <w:r w:rsidR="00AB0ED2" w:rsidRPr="00FC37ED">
        <w:rPr>
          <w:rFonts w:cs="Arial"/>
        </w:rPr>
        <w:t>P</w:t>
      </w:r>
      <w:r w:rsidR="008B576B" w:rsidRPr="00FC37ED">
        <w:rPr>
          <w:rFonts w:cs="Arial"/>
        </w:rPr>
        <w:t xml:space="preserve">roblems </w:t>
      </w:r>
      <w:r w:rsidR="00AB0ED2" w:rsidRPr="00FC37ED">
        <w:rPr>
          <w:rFonts w:cs="Arial"/>
        </w:rPr>
        <w:t xml:space="preserve">largely </w:t>
      </w:r>
      <w:r w:rsidR="008B576B" w:rsidRPr="00FC37ED">
        <w:rPr>
          <w:rFonts w:cs="Arial"/>
        </w:rPr>
        <w:t xml:space="preserve">stem from claiming difficulties linked </w:t>
      </w:r>
      <w:r w:rsidR="00B13B6D" w:rsidRPr="00FC37ED">
        <w:rPr>
          <w:rFonts w:cs="Arial"/>
        </w:rPr>
        <w:t>to the NDIS portal and</w:t>
      </w:r>
      <w:r w:rsidR="008B576B" w:rsidRPr="00FC37ED">
        <w:rPr>
          <w:rFonts w:cs="Arial"/>
        </w:rPr>
        <w:t>/or</w:t>
      </w:r>
      <w:r w:rsidR="00B13B6D" w:rsidRPr="00FC37ED">
        <w:rPr>
          <w:rFonts w:cs="Arial"/>
        </w:rPr>
        <w:t xml:space="preserve"> plans, or </w:t>
      </w:r>
      <w:r w:rsidR="007F6E6A" w:rsidRPr="00FC37ED">
        <w:rPr>
          <w:rFonts w:cs="Arial"/>
        </w:rPr>
        <w:t xml:space="preserve">to </w:t>
      </w:r>
      <w:r w:rsidR="00B13B6D" w:rsidRPr="00FC37ED">
        <w:rPr>
          <w:rFonts w:cs="Arial"/>
        </w:rPr>
        <w:t>difficult negotiations between the NDIA and providers on the value of quotes submitted</w:t>
      </w:r>
      <w:r w:rsidR="008B576B" w:rsidRPr="00FC37ED">
        <w:rPr>
          <w:rFonts w:cs="Arial"/>
        </w:rPr>
        <w:t xml:space="preserve">. Some SIL providers are </w:t>
      </w:r>
      <w:r w:rsidR="00B13B6D" w:rsidRPr="00FC37ED">
        <w:rPr>
          <w:rFonts w:cs="Arial"/>
        </w:rPr>
        <w:t>carrying millions of dollars of debt</w:t>
      </w:r>
      <w:r w:rsidR="003249D9" w:rsidRPr="00FC37ED">
        <w:rPr>
          <w:rFonts w:cs="Arial"/>
        </w:rPr>
        <w:t xml:space="preserve"> as a result</w:t>
      </w:r>
      <w:r w:rsidR="00B13B6D" w:rsidRPr="00FC37ED">
        <w:rPr>
          <w:rFonts w:cs="Arial"/>
        </w:rPr>
        <w:t xml:space="preserve">. In recent months, the NDIA has been </w:t>
      </w:r>
      <w:r w:rsidR="00AB0ED2" w:rsidRPr="00FC37ED">
        <w:rPr>
          <w:rFonts w:cs="Arial"/>
        </w:rPr>
        <w:t>raising</w:t>
      </w:r>
      <w:r w:rsidR="00B13B6D" w:rsidRPr="00FC37ED">
        <w:rPr>
          <w:rFonts w:cs="Arial"/>
        </w:rPr>
        <w:t xml:space="preserve"> concerns about </w:t>
      </w:r>
      <w:r w:rsidR="008B576B" w:rsidRPr="00FC37ED">
        <w:rPr>
          <w:rFonts w:cs="Arial"/>
        </w:rPr>
        <w:t xml:space="preserve">the growth in </w:t>
      </w:r>
      <w:r w:rsidR="00B13B6D" w:rsidRPr="00FC37ED">
        <w:rPr>
          <w:rFonts w:cs="Arial"/>
        </w:rPr>
        <w:t>SIL expenditure and has indicated it is seeking to decrease t</w:t>
      </w:r>
      <w:r w:rsidR="008B7297" w:rsidRPr="00FC37ED">
        <w:rPr>
          <w:rFonts w:cs="Arial"/>
        </w:rPr>
        <w:t>he</w:t>
      </w:r>
      <w:r w:rsidR="00B13B6D" w:rsidRPr="00FC37ED">
        <w:rPr>
          <w:rFonts w:cs="Arial"/>
        </w:rPr>
        <w:t xml:space="preserve"> </w:t>
      </w:r>
      <w:r w:rsidR="008B576B" w:rsidRPr="00FC37ED">
        <w:rPr>
          <w:rFonts w:cs="Arial"/>
        </w:rPr>
        <w:t xml:space="preserve">overall </w:t>
      </w:r>
      <w:r w:rsidR="00B13B6D" w:rsidRPr="00FC37ED">
        <w:rPr>
          <w:rFonts w:cs="Arial"/>
        </w:rPr>
        <w:t xml:space="preserve">value of committed funds for SIL supports. </w:t>
      </w:r>
    </w:p>
    <w:p w:rsidR="00345597" w:rsidRPr="00345597" w:rsidRDefault="00345597" w:rsidP="000F3C0C">
      <w:pPr>
        <w:pStyle w:val="ListParagraph"/>
        <w:numPr>
          <w:ilvl w:val="0"/>
          <w:numId w:val="8"/>
        </w:numPr>
        <w:spacing w:before="240" w:after="240" w:line="240" w:lineRule="auto"/>
        <w:ind w:left="0" w:firstLine="0"/>
        <w:rPr>
          <w:rFonts w:ascii="Arial" w:hAnsi="Arial" w:cs="Arial"/>
          <w:b/>
          <w:sz w:val="24"/>
          <w:lang w:val="en"/>
        </w:rPr>
      </w:pPr>
      <w:r w:rsidRPr="00345597">
        <w:rPr>
          <w:rFonts w:ascii="Arial" w:hAnsi="Arial" w:cs="Arial"/>
          <w:b/>
          <w:sz w:val="24"/>
          <w:lang w:val="en"/>
        </w:rPr>
        <w:t>Separation of housing and support</w:t>
      </w:r>
    </w:p>
    <w:p w:rsidR="008B5BC3" w:rsidRPr="00FC37ED" w:rsidRDefault="009D2FC5" w:rsidP="000F3C0C">
      <w:pPr>
        <w:ind w:left="0" w:firstLine="0"/>
        <w:rPr>
          <w:rFonts w:cs="Arial"/>
        </w:rPr>
      </w:pPr>
      <w:r w:rsidRPr="00FC37ED">
        <w:rPr>
          <w:rFonts w:cs="Arial"/>
        </w:rPr>
        <w:t xml:space="preserve">The establishment of two payment streams </w:t>
      </w:r>
      <w:r w:rsidR="00237374" w:rsidRPr="00FC37ED">
        <w:rPr>
          <w:rFonts w:cs="Arial"/>
        </w:rPr>
        <w:t xml:space="preserve">associated with what </w:t>
      </w:r>
      <w:r w:rsidR="00AB0ED2" w:rsidRPr="00FC37ED">
        <w:rPr>
          <w:rFonts w:cs="Arial"/>
        </w:rPr>
        <w:t>were</w:t>
      </w:r>
      <w:r w:rsidR="00237374" w:rsidRPr="00FC37ED">
        <w:rPr>
          <w:rFonts w:cs="Arial"/>
        </w:rPr>
        <w:t xml:space="preserve"> known as group homes has </w:t>
      </w:r>
      <w:r w:rsidRPr="00FC37ED">
        <w:rPr>
          <w:rFonts w:cs="Arial"/>
        </w:rPr>
        <w:t xml:space="preserve">propelled </w:t>
      </w:r>
      <w:r w:rsidR="00237374" w:rsidRPr="00FC37ED">
        <w:rPr>
          <w:rFonts w:cs="Arial"/>
        </w:rPr>
        <w:t>a growing</w:t>
      </w:r>
      <w:r w:rsidRPr="00FC37ED">
        <w:rPr>
          <w:rFonts w:cs="Arial"/>
        </w:rPr>
        <w:t xml:space="preserve"> separation </w:t>
      </w:r>
      <w:r w:rsidR="008B5BC3" w:rsidRPr="00FC37ED">
        <w:rPr>
          <w:rFonts w:cs="Arial"/>
        </w:rPr>
        <w:t>of the ownership of the building from the supports provided within it</w:t>
      </w:r>
      <w:r w:rsidRPr="00FC37ED">
        <w:rPr>
          <w:rFonts w:cs="Arial"/>
        </w:rPr>
        <w:t>.</w:t>
      </w:r>
      <w:r w:rsidR="008B5BC3" w:rsidRPr="00FC37ED">
        <w:rPr>
          <w:rFonts w:cs="Arial"/>
        </w:rPr>
        <w:t xml:space="preserve"> While the portion of NDIS participants who receive SDA and/or SIL is relatively low, for these participants </w:t>
      </w:r>
      <w:r w:rsidR="00237374" w:rsidRPr="00FC37ED">
        <w:rPr>
          <w:rFonts w:cs="Arial"/>
        </w:rPr>
        <w:t>they</w:t>
      </w:r>
      <w:r w:rsidR="008B5BC3" w:rsidRPr="00FC37ED">
        <w:rPr>
          <w:rFonts w:cs="Arial"/>
        </w:rPr>
        <w:t xml:space="preserve"> are </w:t>
      </w:r>
      <w:r w:rsidR="00237374" w:rsidRPr="00FC37ED">
        <w:rPr>
          <w:rFonts w:cs="Arial"/>
        </w:rPr>
        <w:t>critical</w:t>
      </w:r>
      <w:r w:rsidR="008B5BC3" w:rsidRPr="00FC37ED">
        <w:rPr>
          <w:rFonts w:cs="Arial"/>
        </w:rPr>
        <w:t xml:space="preserve"> to their </w:t>
      </w:r>
      <w:r w:rsidR="00237374" w:rsidRPr="00FC37ED">
        <w:rPr>
          <w:rFonts w:cs="Arial"/>
        </w:rPr>
        <w:t>quality</w:t>
      </w:r>
      <w:r w:rsidR="008B5BC3" w:rsidRPr="00FC37ED">
        <w:rPr>
          <w:rFonts w:cs="Arial"/>
        </w:rPr>
        <w:t xml:space="preserve"> of life and</w:t>
      </w:r>
      <w:r w:rsidR="00FC37ED">
        <w:rPr>
          <w:rFonts w:cs="Arial"/>
        </w:rPr>
        <w:t xml:space="preserve"> ability to achieve their goals (</w:t>
      </w:r>
      <w:r w:rsidR="00FC37ED" w:rsidRPr="00785C5B">
        <w:rPr>
          <w:rFonts w:cs="Arial"/>
          <w:szCs w:val="20"/>
        </w:rPr>
        <w:t>6.9% of NDIS participants have funding for SIL many more receive in-home support. Only 4.4% have funding for SDA — this is estimated to rise to 6% by full rollout</w:t>
      </w:r>
      <w:r w:rsidR="00FC37ED">
        <w:rPr>
          <w:rFonts w:cs="Arial"/>
          <w:szCs w:val="20"/>
        </w:rPr>
        <w:t>).</w:t>
      </w:r>
    </w:p>
    <w:p w:rsidR="008B5BC3" w:rsidRPr="00FC37ED" w:rsidRDefault="00AB0ED2" w:rsidP="000F3C0C">
      <w:pPr>
        <w:ind w:left="0" w:firstLine="0"/>
        <w:rPr>
          <w:rFonts w:cs="Arial"/>
        </w:rPr>
      </w:pPr>
      <w:r w:rsidRPr="00FC37ED">
        <w:rPr>
          <w:rFonts w:cs="Arial"/>
        </w:rPr>
        <w:t>T</w:t>
      </w:r>
      <w:r w:rsidR="009D2FC5" w:rsidRPr="00FC37ED">
        <w:rPr>
          <w:rFonts w:cs="Arial"/>
        </w:rPr>
        <w:t>he NDIA provides some</w:t>
      </w:r>
      <w:r w:rsidR="008B5BC3" w:rsidRPr="00FC37ED">
        <w:rPr>
          <w:rFonts w:cs="Arial"/>
        </w:rPr>
        <w:t xml:space="preserve"> guidance regarding the respective responsibilities of SIL and SDA providers, </w:t>
      </w:r>
      <w:r w:rsidRPr="00FC37ED">
        <w:rPr>
          <w:rFonts w:cs="Arial"/>
        </w:rPr>
        <w:t xml:space="preserve">but </w:t>
      </w:r>
      <w:r w:rsidR="008B5BC3" w:rsidRPr="00FC37ED">
        <w:rPr>
          <w:rFonts w:cs="Arial"/>
        </w:rPr>
        <w:t xml:space="preserve">there is ambiguity in a number of areas. For example, if there is mould in a residence due to a lack of airflow, is this a result of the construction of the property (the SDA provider’s responsibility) or to lack of cleaning or upkeep (the </w:t>
      </w:r>
      <w:r w:rsidR="009D2FC5" w:rsidRPr="00FC37ED">
        <w:rPr>
          <w:rFonts w:cs="Arial"/>
        </w:rPr>
        <w:t xml:space="preserve">participant’s or </w:t>
      </w:r>
      <w:r w:rsidR="008B5BC3" w:rsidRPr="00FC37ED">
        <w:rPr>
          <w:rFonts w:cs="Arial"/>
        </w:rPr>
        <w:t>SIL provider’s responsibility)</w:t>
      </w:r>
      <w:r w:rsidR="00520EB5" w:rsidRPr="00FC37ED">
        <w:rPr>
          <w:rFonts w:cs="Arial"/>
        </w:rPr>
        <w:t>?</w:t>
      </w:r>
      <w:r w:rsidR="008B5BC3" w:rsidRPr="00FC37ED">
        <w:rPr>
          <w:rFonts w:cs="Arial"/>
        </w:rPr>
        <w:t xml:space="preserve"> Ambiguity can </w:t>
      </w:r>
      <w:r w:rsidR="009D2FC5" w:rsidRPr="00FC37ED">
        <w:rPr>
          <w:rFonts w:cs="Arial"/>
        </w:rPr>
        <w:t xml:space="preserve">result in no one taking </w:t>
      </w:r>
      <w:r w:rsidR="008B5BC3" w:rsidRPr="00FC37ED">
        <w:rPr>
          <w:rFonts w:cs="Arial"/>
        </w:rPr>
        <w:t>responsibility, with negative consequences for the resident’s quality of life.</w:t>
      </w:r>
    </w:p>
    <w:p w:rsidR="008B5BC3" w:rsidRPr="00FC37ED" w:rsidRDefault="008B5BC3" w:rsidP="000F3C0C">
      <w:pPr>
        <w:ind w:left="0" w:firstLine="0"/>
        <w:rPr>
          <w:rFonts w:cs="Arial"/>
        </w:rPr>
      </w:pPr>
      <w:r w:rsidRPr="00FC37ED">
        <w:rPr>
          <w:rFonts w:cs="Arial"/>
        </w:rPr>
        <w:t xml:space="preserve">There </w:t>
      </w:r>
      <w:r w:rsidR="00BB6862" w:rsidRPr="00FC37ED">
        <w:rPr>
          <w:rFonts w:cs="Arial"/>
        </w:rPr>
        <w:t>is a</w:t>
      </w:r>
      <w:r w:rsidRPr="00FC37ED">
        <w:rPr>
          <w:rFonts w:cs="Arial"/>
        </w:rPr>
        <w:t xml:space="preserve"> debate about whether the owner</w:t>
      </w:r>
      <w:r w:rsidR="00AB0ED2" w:rsidRPr="00FC37ED">
        <w:rPr>
          <w:rFonts w:cs="Arial"/>
        </w:rPr>
        <w:t>/operator</w:t>
      </w:r>
      <w:r w:rsidRPr="00FC37ED">
        <w:rPr>
          <w:rFonts w:cs="Arial"/>
        </w:rPr>
        <w:t xml:space="preserve"> of </w:t>
      </w:r>
      <w:r w:rsidR="00AB0ED2" w:rsidRPr="00FC37ED">
        <w:rPr>
          <w:rFonts w:cs="Arial"/>
        </w:rPr>
        <w:t>an SDA</w:t>
      </w:r>
      <w:r w:rsidRPr="00FC37ED">
        <w:rPr>
          <w:rFonts w:cs="Arial"/>
        </w:rPr>
        <w:t xml:space="preserve"> property and the provider of </w:t>
      </w:r>
      <w:r w:rsidR="00AB0ED2" w:rsidRPr="00FC37ED">
        <w:rPr>
          <w:rFonts w:cs="Arial"/>
        </w:rPr>
        <w:t>SIL</w:t>
      </w:r>
      <w:r w:rsidRPr="00FC37ED">
        <w:rPr>
          <w:rFonts w:cs="Arial"/>
        </w:rPr>
        <w:t xml:space="preserve"> supports should be allowed to be the same organisation. </w:t>
      </w:r>
      <w:r w:rsidR="00BB6862" w:rsidRPr="00FC37ED">
        <w:rPr>
          <w:rFonts w:cs="Arial"/>
        </w:rPr>
        <w:t>T</w:t>
      </w:r>
      <w:r w:rsidRPr="00FC37ED">
        <w:rPr>
          <w:rFonts w:cs="Arial"/>
        </w:rPr>
        <w:t xml:space="preserve">here is nothing in the NDIS Act or Rules to enforce </w:t>
      </w:r>
      <w:r w:rsidR="00BB6862" w:rsidRPr="00FC37ED">
        <w:rPr>
          <w:rFonts w:cs="Arial"/>
        </w:rPr>
        <w:t xml:space="preserve">complete separation </w:t>
      </w:r>
      <w:r w:rsidR="003249D9" w:rsidRPr="00FC37ED">
        <w:rPr>
          <w:rFonts w:cs="Arial"/>
        </w:rPr>
        <w:t>however</w:t>
      </w:r>
      <w:r w:rsidR="00BB6862" w:rsidRPr="00FC37ED">
        <w:rPr>
          <w:rFonts w:cs="Arial"/>
        </w:rPr>
        <w:t xml:space="preserve"> Practice Standards associated with registration </w:t>
      </w:r>
      <w:r w:rsidR="003249D9" w:rsidRPr="00FC37ED">
        <w:rPr>
          <w:rFonts w:cs="Arial"/>
        </w:rPr>
        <w:t>by</w:t>
      </w:r>
      <w:r w:rsidR="00BB6862" w:rsidRPr="00FC37ED">
        <w:rPr>
          <w:rFonts w:cs="Arial"/>
        </w:rPr>
        <w:t xml:space="preserve"> the NDIS Commission require evidence that this </w:t>
      </w:r>
      <w:r w:rsidR="00AB0ED2" w:rsidRPr="00FC37ED">
        <w:rPr>
          <w:rFonts w:cs="Arial"/>
        </w:rPr>
        <w:t>potential conflict of interest is being</w:t>
      </w:r>
      <w:r w:rsidR="00BB6862" w:rsidRPr="00FC37ED">
        <w:rPr>
          <w:rFonts w:cs="Arial"/>
        </w:rPr>
        <w:t xml:space="preserve"> managed</w:t>
      </w:r>
      <w:r w:rsidRPr="00FC37ED">
        <w:rPr>
          <w:rFonts w:cs="Arial"/>
        </w:rPr>
        <w:t xml:space="preserve">. </w:t>
      </w:r>
    </w:p>
    <w:p w:rsidR="00345597" w:rsidRPr="00345597" w:rsidRDefault="00D62B9C" w:rsidP="000F3C0C">
      <w:pPr>
        <w:pStyle w:val="ListParagraph"/>
        <w:numPr>
          <w:ilvl w:val="0"/>
          <w:numId w:val="8"/>
        </w:numPr>
        <w:spacing w:before="240" w:after="240" w:line="240" w:lineRule="auto"/>
        <w:ind w:left="0" w:firstLine="0"/>
        <w:rPr>
          <w:rFonts w:ascii="Arial" w:hAnsi="Arial" w:cs="Arial"/>
          <w:b/>
          <w:sz w:val="24"/>
          <w:lang w:val="en"/>
        </w:rPr>
      </w:pPr>
      <w:r>
        <w:rPr>
          <w:rFonts w:ascii="Arial" w:hAnsi="Arial" w:cs="Arial"/>
          <w:b/>
          <w:sz w:val="24"/>
          <w:lang w:val="en"/>
        </w:rPr>
        <w:t>Operation of the market</w:t>
      </w:r>
    </w:p>
    <w:p w:rsidR="00345597" w:rsidRPr="00FC37ED" w:rsidRDefault="0036038D" w:rsidP="000F3C0C">
      <w:pPr>
        <w:ind w:left="0" w:firstLine="0"/>
        <w:rPr>
          <w:rFonts w:cs="Arial"/>
        </w:rPr>
      </w:pPr>
      <w:r w:rsidRPr="00FC37ED">
        <w:rPr>
          <w:rFonts w:cs="Arial"/>
        </w:rPr>
        <w:t xml:space="preserve">Proponents of the NDIA’s approach </w:t>
      </w:r>
      <w:r w:rsidR="003249D9" w:rsidRPr="00FC37ED">
        <w:rPr>
          <w:rFonts w:cs="Arial"/>
        </w:rPr>
        <w:t>of using</w:t>
      </w:r>
      <w:r w:rsidRPr="00FC37ED">
        <w:rPr>
          <w:rFonts w:cs="Arial"/>
        </w:rPr>
        <w:t xml:space="preserve"> the market to deliver more properties for use by people who would have previously lived in what was termed group homes are excited by the opportunities it may afford NDIS participants to live in </w:t>
      </w:r>
      <w:r w:rsidR="0031127A" w:rsidRPr="00FC37ED">
        <w:rPr>
          <w:rFonts w:cs="Arial"/>
        </w:rPr>
        <w:t>good housing.</w:t>
      </w:r>
    </w:p>
    <w:p w:rsidR="0031127A" w:rsidRPr="00FC37ED" w:rsidRDefault="007704ED" w:rsidP="000F3C0C">
      <w:pPr>
        <w:ind w:left="0" w:firstLine="0"/>
        <w:rPr>
          <w:rFonts w:cs="Arial"/>
        </w:rPr>
      </w:pPr>
      <w:r w:rsidRPr="00FC37ED">
        <w:rPr>
          <w:rFonts w:cs="Arial"/>
        </w:rPr>
        <w:t>While t</w:t>
      </w:r>
      <w:r w:rsidR="0031127A" w:rsidRPr="00FC37ED">
        <w:rPr>
          <w:rFonts w:cs="Arial"/>
        </w:rPr>
        <w:t>here does need to be investment in the supply of housing this market approach is not without risks. New builds need to fall into one of four main categories:</w:t>
      </w:r>
    </w:p>
    <w:p w:rsidR="0031127A" w:rsidRPr="0031127A" w:rsidRDefault="0031127A" w:rsidP="00FC37ED">
      <w:pPr>
        <w:pStyle w:val="ListParagraph"/>
        <w:numPr>
          <w:ilvl w:val="0"/>
          <w:numId w:val="7"/>
        </w:numPr>
        <w:spacing w:before="240" w:after="240" w:line="240" w:lineRule="auto"/>
        <w:ind w:left="357" w:hanging="357"/>
        <w:rPr>
          <w:rFonts w:ascii="Arial" w:hAnsi="Arial" w:cs="Arial"/>
          <w:sz w:val="24"/>
        </w:rPr>
      </w:pPr>
      <w:r w:rsidRPr="0031127A">
        <w:rPr>
          <w:rFonts w:ascii="Arial" w:hAnsi="Arial" w:cs="Arial"/>
          <w:sz w:val="24"/>
        </w:rPr>
        <w:t>Improved Liveability </w:t>
      </w:r>
    </w:p>
    <w:p w:rsidR="0031127A" w:rsidRPr="0031127A" w:rsidRDefault="0031127A" w:rsidP="00FC37ED">
      <w:pPr>
        <w:pStyle w:val="ListParagraph"/>
        <w:numPr>
          <w:ilvl w:val="0"/>
          <w:numId w:val="7"/>
        </w:numPr>
        <w:spacing w:before="240" w:after="240" w:line="240" w:lineRule="auto"/>
        <w:ind w:left="357" w:hanging="357"/>
        <w:rPr>
          <w:rFonts w:ascii="Arial" w:hAnsi="Arial" w:cs="Arial"/>
          <w:sz w:val="24"/>
        </w:rPr>
      </w:pPr>
      <w:r w:rsidRPr="0031127A">
        <w:rPr>
          <w:rFonts w:ascii="Arial" w:hAnsi="Arial" w:cs="Arial"/>
          <w:sz w:val="24"/>
        </w:rPr>
        <w:t>Robust</w:t>
      </w:r>
    </w:p>
    <w:p w:rsidR="0031127A" w:rsidRPr="0031127A" w:rsidRDefault="0031127A" w:rsidP="00FC37ED">
      <w:pPr>
        <w:pStyle w:val="ListParagraph"/>
        <w:numPr>
          <w:ilvl w:val="0"/>
          <w:numId w:val="7"/>
        </w:numPr>
        <w:spacing w:before="240" w:after="240" w:line="240" w:lineRule="auto"/>
        <w:ind w:left="357" w:hanging="357"/>
        <w:rPr>
          <w:rFonts w:ascii="Arial" w:hAnsi="Arial" w:cs="Arial"/>
          <w:sz w:val="24"/>
        </w:rPr>
      </w:pPr>
      <w:r w:rsidRPr="0031127A">
        <w:rPr>
          <w:rFonts w:ascii="Arial" w:hAnsi="Arial" w:cs="Arial"/>
          <w:sz w:val="24"/>
        </w:rPr>
        <w:t>Fully Accessible</w:t>
      </w:r>
    </w:p>
    <w:p w:rsidR="0031127A" w:rsidRPr="0031127A" w:rsidRDefault="0031127A" w:rsidP="00FC37ED">
      <w:pPr>
        <w:pStyle w:val="ListParagraph"/>
        <w:numPr>
          <w:ilvl w:val="0"/>
          <w:numId w:val="7"/>
        </w:numPr>
        <w:spacing w:before="240" w:after="240" w:line="240" w:lineRule="auto"/>
        <w:ind w:left="357" w:hanging="357"/>
        <w:rPr>
          <w:rFonts w:ascii="Arial" w:hAnsi="Arial" w:cs="Arial"/>
          <w:sz w:val="24"/>
        </w:rPr>
      </w:pPr>
      <w:r w:rsidRPr="0031127A">
        <w:rPr>
          <w:rFonts w:ascii="Arial" w:hAnsi="Arial" w:cs="Arial"/>
          <w:sz w:val="24"/>
        </w:rPr>
        <w:t>High Physical Support</w:t>
      </w:r>
    </w:p>
    <w:p w:rsidR="0031127A" w:rsidRPr="00FC37ED" w:rsidRDefault="0031127A" w:rsidP="000F3C0C">
      <w:pPr>
        <w:ind w:left="0" w:firstLine="0"/>
        <w:rPr>
          <w:rFonts w:cs="Arial"/>
        </w:rPr>
      </w:pPr>
      <w:r w:rsidRPr="00FC37ED">
        <w:rPr>
          <w:rFonts w:cs="Arial"/>
        </w:rPr>
        <w:t xml:space="preserve">The different build types attract different levels of payment; the NDIA determines the payment level </w:t>
      </w:r>
      <w:r w:rsidR="004F656F" w:rsidRPr="00FC37ED">
        <w:rPr>
          <w:rFonts w:cs="Arial"/>
        </w:rPr>
        <w:t xml:space="preserve">to </w:t>
      </w:r>
      <w:r w:rsidRPr="00FC37ED">
        <w:rPr>
          <w:rFonts w:cs="Arial"/>
        </w:rPr>
        <w:t>made available to an eligible participant</w:t>
      </w:r>
      <w:r w:rsidR="007740D6" w:rsidRPr="00FC37ED">
        <w:rPr>
          <w:rFonts w:cs="Arial"/>
        </w:rPr>
        <w:t xml:space="preserve"> who then seeks a su</w:t>
      </w:r>
      <w:r w:rsidR="00D77281" w:rsidRPr="00FC37ED">
        <w:rPr>
          <w:rFonts w:cs="Arial"/>
        </w:rPr>
        <w:t>i</w:t>
      </w:r>
      <w:r w:rsidR="007740D6" w:rsidRPr="00FC37ED">
        <w:rPr>
          <w:rFonts w:cs="Arial"/>
        </w:rPr>
        <w:t>table property to live in</w:t>
      </w:r>
      <w:r w:rsidRPr="00FC37ED">
        <w:rPr>
          <w:rFonts w:cs="Arial"/>
        </w:rPr>
        <w:t>.</w:t>
      </w:r>
    </w:p>
    <w:p w:rsidR="00AE27B7" w:rsidRPr="00FC37ED" w:rsidRDefault="0031127A" w:rsidP="000F3C0C">
      <w:pPr>
        <w:ind w:left="0" w:firstLine="0"/>
        <w:rPr>
          <w:rFonts w:cs="Arial"/>
        </w:rPr>
      </w:pPr>
      <w:r w:rsidRPr="00FC37ED">
        <w:rPr>
          <w:rFonts w:cs="Arial"/>
        </w:rPr>
        <w:t>To</w:t>
      </w:r>
      <w:r w:rsidR="00846E91" w:rsidRPr="00FC37ED">
        <w:rPr>
          <w:rFonts w:cs="Arial"/>
        </w:rPr>
        <w:t>-</w:t>
      </w:r>
      <w:r w:rsidRPr="00FC37ED">
        <w:rPr>
          <w:rFonts w:cs="Arial"/>
        </w:rPr>
        <w:t>date, the requirements for the different builds have been inadequately prescribed</w:t>
      </w:r>
      <w:r w:rsidR="00AE27B7" w:rsidRPr="00FC37ED">
        <w:rPr>
          <w:rFonts w:cs="Arial"/>
        </w:rPr>
        <w:t xml:space="preserve"> and there has been no independent certification process for new </w:t>
      </w:r>
      <w:r w:rsidR="007704ED" w:rsidRPr="00FC37ED">
        <w:rPr>
          <w:rFonts w:cs="Arial"/>
        </w:rPr>
        <w:t xml:space="preserve">SDA </w:t>
      </w:r>
      <w:r w:rsidR="00AE27B7" w:rsidRPr="00FC37ED">
        <w:rPr>
          <w:rFonts w:cs="Arial"/>
        </w:rPr>
        <w:t xml:space="preserve">properties </w:t>
      </w:r>
      <w:r w:rsidR="007740D6" w:rsidRPr="00FC37ED">
        <w:rPr>
          <w:rFonts w:cs="Arial"/>
        </w:rPr>
        <w:t xml:space="preserve">to </w:t>
      </w:r>
      <w:r w:rsidR="007704ED" w:rsidRPr="00FC37ED">
        <w:rPr>
          <w:rFonts w:cs="Arial"/>
        </w:rPr>
        <w:t>che</w:t>
      </w:r>
      <w:r w:rsidR="00AE27B7" w:rsidRPr="00FC37ED">
        <w:rPr>
          <w:rFonts w:cs="Arial"/>
        </w:rPr>
        <w:t xml:space="preserve">ck they meet </w:t>
      </w:r>
      <w:r w:rsidR="007704ED" w:rsidRPr="00FC37ED">
        <w:rPr>
          <w:rFonts w:cs="Arial"/>
        </w:rPr>
        <w:t xml:space="preserve">even </w:t>
      </w:r>
      <w:r w:rsidR="00AE27B7" w:rsidRPr="00FC37ED">
        <w:rPr>
          <w:rFonts w:cs="Arial"/>
        </w:rPr>
        <w:t>existing requirements under these categories.</w:t>
      </w:r>
    </w:p>
    <w:p w:rsidR="0031127A" w:rsidRPr="00FC37ED" w:rsidRDefault="0031127A" w:rsidP="000F3C0C">
      <w:pPr>
        <w:ind w:left="0" w:firstLine="0"/>
        <w:rPr>
          <w:rFonts w:cs="Arial"/>
        </w:rPr>
      </w:pPr>
      <w:r w:rsidRPr="00FC37ED">
        <w:rPr>
          <w:rFonts w:cs="Arial"/>
        </w:rPr>
        <w:t>Fortunately</w:t>
      </w:r>
      <w:r w:rsidR="00AE27B7" w:rsidRPr="00FC37ED">
        <w:rPr>
          <w:rFonts w:cs="Arial"/>
        </w:rPr>
        <w:t>,</w:t>
      </w:r>
      <w:r w:rsidRPr="00FC37ED">
        <w:rPr>
          <w:rFonts w:cs="Arial"/>
        </w:rPr>
        <w:t xml:space="preserve"> new </w:t>
      </w:r>
      <w:r w:rsidR="00AE27B7" w:rsidRPr="00FC37ED">
        <w:rPr>
          <w:rFonts w:cs="Arial"/>
        </w:rPr>
        <w:t>design standards</w:t>
      </w:r>
      <w:r w:rsidRPr="00FC37ED">
        <w:rPr>
          <w:rFonts w:cs="Arial"/>
        </w:rPr>
        <w:t xml:space="preserve"> </w:t>
      </w:r>
      <w:r w:rsidR="00FC37ED">
        <w:rPr>
          <w:rFonts w:cs="Arial"/>
        </w:rPr>
        <w:t xml:space="preserve">(see NDIA </w:t>
      </w:r>
      <w:hyperlink r:id="rId15" w:history="1">
        <w:r w:rsidR="00FC37ED" w:rsidRPr="00FC37ED">
          <w:rPr>
            <w:rStyle w:val="Hyperlink"/>
            <w:rFonts w:cs="Arial"/>
          </w:rPr>
          <w:t>Specialist Disability Accommodation design standard</w:t>
        </w:r>
      </w:hyperlink>
      <w:r w:rsidR="00FC37ED">
        <w:rPr>
          <w:rFonts w:cs="Arial"/>
        </w:rPr>
        <w:t>)</w:t>
      </w:r>
      <w:r w:rsidR="00FC37ED">
        <w:rPr>
          <w:rFonts w:cs="Arial"/>
          <w:color w:val="0000FF"/>
          <w:u w:val="single"/>
        </w:rPr>
        <w:t xml:space="preserve"> </w:t>
      </w:r>
      <w:r w:rsidRPr="00FC37ED">
        <w:rPr>
          <w:rFonts w:cs="Arial"/>
        </w:rPr>
        <w:t>will gradually be introduced which will more clearly define the accessibility and design features of each category.</w:t>
      </w:r>
      <w:r w:rsidR="00AE27B7" w:rsidRPr="00FC37ED">
        <w:rPr>
          <w:rFonts w:cs="Arial"/>
        </w:rPr>
        <w:t xml:space="preserve"> A formal certification of properties will be introduced but information on how it will operate is scant. </w:t>
      </w:r>
      <w:r w:rsidR="00A42D0B" w:rsidRPr="00FC37ED">
        <w:rPr>
          <w:rFonts w:cs="Arial"/>
        </w:rPr>
        <w:t>H</w:t>
      </w:r>
      <w:r w:rsidR="00AE27B7" w:rsidRPr="00FC37ED">
        <w:rPr>
          <w:rFonts w:cs="Arial"/>
        </w:rPr>
        <w:t>igh</w:t>
      </w:r>
      <w:r w:rsidR="00A42D0B" w:rsidRPr="00FC37ED">
        <w:rPr>
          <w:rFonts w:cs="Arial"/>
        </w:rPr>
        <w:t>-</w:t>
      </w:r>
      <w:r w:rsidR="00AE27B7" w:rsidRPr="00FC37ED">
        <w:rPr>
          <w:rFonts w:cs="Arial"/>
        </w:rPr>
        <w:t xml:space="preserve">profile </w:t>
      </w:r>
      <w:r w:rsidR="006E043A" w:rsidRPr="00FC37ED">
        <w:rPr>
          <w:rFonts w:cs="Arial"/>
        </w:rPr>
        <w:t xml:space="preserve">mainstream </w:t>
      </w:r>
      <w:r w:rsidR="00AE27B7" w:rsidRPr="00FC37ED">
        <w:rPr>
          <w:rFonts w:cs="Arial"/>
        </w:rPr>
        <w:t>building scandals</w:t>
      </w:r>
      <w:r w:rsidR="006E043A" w:rsidRPr="00FC37ED">
        <w:rPr>
          <w:rFonts w:cs="Arial"/>
        </w:rPr>
        <w:t xml:space="preserve"> over the last couple of years have </w:t>
      </w:r>
      <w:r w:rsidR="003F3ACB" w:rsidRPr="00FC37ED">
        <w:rPr>
          <w:rFonts w:cs="Arial"/>
        </w:rPr>
        <w:t>tested</w:t>
      </w:r>
      <w:r w:rsidR="006E043A" w:rsidRPr="00FC37ED">
        <w:rPr>
          <w:rFonts w:cs="Arial"/>
        </w:rPr>
        <w:t xml:space="preserve"> the integrity of building approval processes. The independence of the certification process for new SDA properties must be designed </w:t>
      </w:r>
      <w:r w:rsidR="007704ED" w:rsidRPr="00FC37ED">
        <w:rPr>
          <w:rFonts w:cs="Arial"/>
        </w:rPr>
        <w:t xml:space="preserve">to minimise the </w:t>
      </w:r>
      <w:r w:rsidR="00846E91" w:rsidRPr="00FC37ED">
        <w:rPr>
          <w:rFonts w:cs="Arial"/>
        </w:rPr>
        <w:t>likelihood</w:t>
      </w:r>
      <w:r w:rsidR="007704ED" w:rsidRPr="00FC37ED">
        <w:rPr>
          <w:rFonts w:cs="Arial"/>
        </w:rPr>
        <w:t xml:space="preserve"> of it being </w:t>
      </w:r>
      <w:r w:rsidR="006E043A" w:rsidRPr="00FC37ED">
        <w:rPr>
          <w:rFonts w:cs="Arial"/>
        </w:rPr>
        <w:t xml:space="preserve">compromised. </w:t>
      </w:r>
    </w:p>
    <w:p w:rsidR="0031127A" w:rsidRPr="00FC37ED" w:rsidRDefault="0031127A" w:rsidP="000F3C0C">
      <w:pPr>
        <w:ind w:left="0" w:firstLine="0"/>
        <w:rPr>
          <w:rFonts w:cs="Arial"/>
        </w:rPr>
      </w:pPr>
      <w:r w:rsidRPr="00FC37ED">
        <w:rPr>
          <w:rFonts w:cs="Arial"/>
        </w:rPr>
        <w:t xml:space="preserve">The quality of fittings </w:t>
      </w:r>
      <w:r w:rsidR="007740D6" w:rsidRPr="00FC37ED">
        <w:rPr>
          <w:rFonts w:cs="Arial"/>
        </w:rPr>
        <w:t xml:space="preserve">in SDA properties </w:t>
      </w:r>
      <w:r w:rsidR="00AE27B7" w:rsidRPr="00FC37ED">
        <w:rPr>
          <w:rFonts w:cs="Arial"/>
        </w:rPr>
        <w:t>has</w:t>
      </w:r>
      <w:r w:rsidRPr="00FC37ED">
        <w:rPr>
          <w:rFonts w:cs="Arial"/>
        </w:rPr>
        <w:t xml:space="preserve"> not </w:t>
      </w:r>
      <w:r w:rsidR="00A42D0B" w:rsidRPr="00FC37ED">
        <w:rPr>
          <w:rFonts w:cs="Arial"/>
        </w:rPr>
        <w:t xml:space="preserve">been </w:t>
      </w:r>
      <w:r w:rsidR="007704ED" w:rsidRPr="00FC37ED">
        <w:rPr>
          <w:rFonts w:cs="Arial"/>
        </w:rPr>
        <w:t xml:space="preserve">prescribed, </w:t>
      </w:r>
      <w:r w:rsidR="00AE27B7" w:rsidRPr="00FC37ED">
        <w:rPr>
          <w:rFonts w:cs="Arial"/>
        </w:rPr>
        <w:t xml:space="preserve">and is not </w:t>
      </w:r>
      <w:r w:rsidRPr="00FC37ED">
        <w:rPr>
          <w:rFonts w:cs="Arial"/>
        </w:rPr>
        <w:t>prescribed</w:t>
      </w:r>
      <w:r w:rsidR="00AE27B7" w:rsidRPr="00FC37ED">
        <w:rPr>
          <w:rFonts w:cs="Arial"/>
        </w:rPr>
        <w:t xml:space="preserve"> under the new design standards</w:t>
      </w:r>
      <w:r w:rsidRPr="00FC37ED">
        <w:rPr>
          <w:rFonts w:cs="Arial"/>
        </w:rPr>
        <w:t xml:space="preserve">. </w:t>
      </w:r>
      <w:r w:rsidR="006E043A" w:rsidRPr="00FC37ED">
        <w:rPr>
          <w:rFonts w:cs="Arial"/>
        </w:rPr>
        <w:t xml:space="preserve">SDA funding </w:t>
      </w:r>
      <w:r w:rsidR="00D62B9C" w:rsidRPr="00FC37ED">
        <w:rPr>
          <w:rFonts w:cs="Arial"/>
        </w:rPr>
        <w:t xml:space="preserve">should be </w:t>
      </w:r>
      <w:r w:rsidR="006E043A" w:rsidRPr="00FC37ED">
        <w:rPr>
          <w:rFonts w:cs="Arial"/>
        </w:rPr>
        <w:t xml:space="preserve">spent on new properties that are fit-for-purpose (i.e. </w:t>
      </w:r>
      <w:r w:rsidR="00D62B9C" w:rsidRPr="00FC37ED">
        <w:rPr>
          <w:rFonts w:cs="Arial"/>
        </w:rPr>
        <w:t xml:space="preserve">particularly </w:t>
      </w:r>
      <w:r w:rsidR="006E043A" w:rsidRPr="00FC37ED">
        <w:rPr>
          <w:rFonts w:cs="Arial"/>
        </w:rPr>
        <w:t>those built prior to the introduction of new design standards) and have a fit-out of an acceptable quality</w:t>
      </w:r>
      <w:r w:rsidR="00D62B9C" w:rsidRPr="00FC37ED">
        <w:rPr>
          <w:rFonts w:cs="Arial"/>
        </w:rPr>
        <w:t xml:space="preserve">. </w:t>
      </w:r>
      <w:r w:rsidR="007704ED" w:rsidRPr="00FC37ED">
        <w:rPr>
          <w:rFonts w:cs="Arial"/>
        </w:rPr>
        <w:t>Checks on this are not being undertaken.</w:t>
      </w:r>
      <w:r w:rsidRPr="00FC37ED">
        <w:rPr>
          <w:rFonts w:cs="Arial"/>
        </w:rPr>
        <w:t xml:space="preserve"> </w:t>
      </w:r>
    </w:p>
    <w:p w:rsidR="00AE27B7" w:rsidRPr="00FC37ED" w:rsidRDefault="00AE27B7" w:rsidP="000F3C0C">
      <w:pPr>
        <w:ind w:left="0" w:firstLine="0"/>
        <w:rPr>
          <w:rFonts w:cs="Arial"/>
        </w:rPr>
      </w:pPr>
      <w:r w:rsidRPr="00FC37ED">
        <w:rPr>
          <w:rFonts w:cs="Arial"/>
        </w:rPr>
        <w:t xml:space="preserve">Information about </w:t>
      </w:r>
      <w:r w:rsidR="007704ED" w:rsidRPr="00FC37ED">
        <w:rPr>
          <w:rFonts w:cs="Arial"/>
        </w:rPr>
        <w:t xml:space="preserve">vacancies in </w:t>
      </w:r>
      <w:r w:rsidRPr="00FC37ED">
        <w:rPr>
          <w:rFonts w:cs="Arial"/>
        </w:rPr>
        <w:t xml:space="preserve">SDA properties is not easy for participants to find and there is </w:t>
      </w:r>
      <w:r w:rsidR="00D77281" w:rsidRPr="00FC37ED">
        <w:rPr>
          <w:rFonts w:cs="Arial"/>
        </w:rPr>
        <w:t xml:space="preserve">a lack of </w:t>
      </w:r>
      <w:r w:rsidRPr="00FC37ED">
        <w:rPr>
          <w:rFonts w:cs="Arial"/>
        </w:rPr>
        <w:t>information about properties under development.</w:t>
      </w:r>
      <w:r w:rsidR="007740D6" w:rsidRPr="00FC37ED">
        <w:rPr>
          <w:rFonts w:cs="Arial"/>
        </w:rPr>
        <w:t xml:space="preserve"> Exercising choice is </w:t>
      </w:r>
      <w:r w:rsidR="003249D9" w:rsidRPr="00FC37ED">
        <w:rPr>
          <w:rFonts w:cs="Arial"/>
        </w:rPr>
        <w:t xml:space="preserve">therefore </w:t>
      </w:r>
      <w:r w:rsidR="007740D6" w:rsidRPr="00FC37ED">
        <w:rPr>
          <w:rFonts w:cs="Arial"/>
        </w:rPr>
        <w:t>difficult.</w:t>
      </w:r>
    </w:p>
    <w:p w:rsidR="00A112AE" w:rsidRPr="00FC37ED" w:rsidRDefault="0031127A" w:rsidP="000F3C0C">
      <w:pPr>
        <w:ind w:left="0" w:firstLine="0"/>
        <w:rPr>
          <w:rFonts w:cs="Arial"/>
        </w:rPr>
      </w:pPr>
      <w:r w:rsidRPr="00FC37ED">
        <w:rPr>
          <w:rFonts w:cs="Arial"/>
        </w:rPr>
        <w:t>Relying on consumer choice to shape the quality of SDA i</w:t>
      </w:r>
      <w:r w:rsidR="00D77281" w:rsidRPr="00FC37ED">
        <w:rPr>
          <w:rFonts w:cs="Arial"/>
        </w:rPr>
        <w:t>gnores the challenges m</w:t>
      </w:r>
      <w:r w:rsidR="004E205E" w:rsidRPr="00FC37ED">
        <w:rPr>
          <w:rFonts w:cs="Arial"/>
        </w:rPr>
        <w:t>any participants</w:t>
      </w:r>
      <w:r w:rsidR="00AE27B7" w:rsidRPr="00FC37ED">
        <w:rPr>
          <w:rFonts w:cs="Arial"/>
        </w:rPr>
        <w:t xml:space="preserve"> </w:t>
      </w:r>
      <w:r w:rsidR="00D77281" w:rsidRPr="00FC37ED">
        <w:rPr>
          <w:rFonts w:cs="Arial"/>
        </w:rPr>
        <w:t xml:space="preserve">face </w:t>
      </w:r>
      <w:r w:rsidR="00AE27B7" w:rsidRPr="00FC37ED">
        <w:rPr>
          <w:rFonts w:cs="Arial"/>
        </w:rPr>
        <w:t>to be well-informed</w:t>
      </w:r>
      <w:r w:rsidR="00B0684C" w:rsidRPr="00FC37ED">
        <w:rPr>
          <w:rFonts w:cs="Arial"/>
        </w:rPr>
        <w:t xml:space="preserve"> and be able to operate within the market</w:t>
      </w:r>
      <w:r w:rsidR="007704ED" w:rsidRPr="00FC37ED">
        <w:rPr>
          <w:rFonts w:cs="Arial"/>
        </w:rPr>
        <w:t>. M</w:t>
      </w:r>
      <w:r w:rsidR="003F3ACB" w:rsidRPr="00FC37ED">
        <w:rPr>
          <w:rFonts w:cs="Arial"/>
        </w:rPr>
        <w:t xml:space="preserve">any </w:t>
      </w:r>
      <w:r w:rsidR="007704ED" w:rsidRPr="00FC37ED">
        <w:rPr>
          <w:rFonts w:cs="Arial"/>
        </w:rPr>
        <w:t>are not able to exercise the choice and control this requires.</w:t>
      </w:r>
      <w:r w:rsidR="00AE27B7" w:rsidRPr="00FC37ED">
        <w:rPr>
          <w:rFonts w:cs="Arial"/>
        </w:rPr>
        <w:t xml:space="preserve"> </w:t>
      </w:r>
      <w:r w:rsidR="00D608BE" w:rsidRPr="00FC37ED">
        <w:rPr>
          <w:rFonts w:cs="Arial"/>
        </w:rPr>
        <w:t>It is important to note that r</w:t>
      </w:r>
      <w:r w:rsidR="00A112AE" w:rsidRPr="00FC37ED">
        <w:rPr>
          <w:rFonts w:cs="Arial"/>
        </w:rPr>
        <w:t>esearch suggests that market-based models risk further entrenching disadvantage as the skills required to navigate them are often more present in those who are middle-class, English-speaking, and without mental illness or cognitive disability</w:t>
      </w:r>
      <w:r w:rsidR="00FC37ED">
        <w:rPr>
          <w:rFonts w:cs="Arial"/>
        </w:rPr>
        <w:t xml:space="preserve"> [</w:t>
      </w:r>
      <w:r w:rsidR="00FC37ED" w:rsidRPr="00B83DE9">
        <w:rPr>
          <w:rFonts w:cs="Arial"/>
          <w:shd w:val="clear" w:color="auto" w:fill="FFFFFF"/>
        </w:rPr>
        <w:t>Malbon, E., Carey, G. &amp; Meltzer, A. Personalisation schemes in social care: are they growing social and health inequalities? </w:t>
      </w:r>
      <w:r w:rsidR="00FC37ED" w:rsidRPr="00B83DE9">
        <w:rPr>
          <w:rFonts w:cs="Arial"/>
          <w:iCs/>
          <w:shd w:val="clear" w:color="auto" w:fill="FFFFFF"/>
        </w:rPr>
        <w:t>BMC Public Health</w:t>
      </w:r>
      <w:r w:rsidR="00FC37ED" w:rsidRPr="00B83DE9">
        <w:rPr>
          <w:rFonts w:cs="Arial"/>
          <w:shd w:val="clear" w:color="auto" w:fill="FFFFFF"/>
        </w:rPr>
        <w:t> </w:t>
      </w:r>
      <w:r w:rsidR="00FC37ED" w:rsidRPr="00B83DE9">
        <w:rPr>
          <w:rFonts w:cs="Arial"/>
          <w:bCs/>
          <w:shd w:val="clear" w:color="auto" w:fill="FFFFFF"/>
        </w:rPr>
        <w:t>19,</w:t>
      </w:r>
      <w:r w:rsidR="00FC37ED" w:rsidRPr="00B83DE9">
        <w:rPr>
          <w:rFonts w:cs="Arial"/>
          <w:b/>
          <w:bCs/>
          <w:shd w:val="clear" w:color="auto" w:fill="FFFFFF"/>
        </w:rPr>
        <w:t> </w:t>
      </w:r>
      <w:r w:rsidR="00FC37ED" w:rsidRPr="00B83DE9">
        <w:rPr>
          <w:rFonts w:cs="Arial"/>
          <w:shd w:val="clear" w:color="auto" w:fill="FFFFFF"/>
        </w:rPr>
        <w:t>805 (2019), viewed at https://doi.org/10.1186/s12889-019-7168-4</w:t>
      </w:r>
      <w:r w:rsidR="00FC37ED">
        <w:rPr>
          <w:rFonts w:cs="Arial"/>
          <w:shd w:val="clear" w:color="auto" w:fill="FFFFFF"/>
        </w:rPr>
        <w:t>]</w:t>
      </w:r>
      <w:r w:rsidR="00D608BE" w:rsidRPr="00FC37ED">
        <w:rPr>
          <w:rFonts w:cs="Arial"/>
        </w:rPr>
        <w:t>.</w:t>
      </w:r>
      <w:r w:rsidR="00A65A77" w:rsidRPr="00FC37ED">
        <w:rPr>
          <w:rFonts w:cs="Arial"/>
        </w:rPr>
        <w:t xml:space="preserve"> Monitoring</w:t>
      </w:r>
    </w:p>
    <w:p w:rsidR="00B62A41" w:rsidRPr="00345597" w:rsidRDefault="00B62A41" w:rsidP="000F3C0C">
      <w:pPr>
        <w:pStyle w:val="ListParagraph"/>
        <w:numPr>
          <w:ilvl w:val="0"/>
          <w:numId w:val="8"/>
        </w:numPr>
        <w:spacing w:before="240" w:after="240" w:line="240" w:lineRule="auto"/>
        <w:ind w:left="0" w:firstLine="0"/>
        <w:rPr>
          <w:rFonts w:ascii="Arial" w:hAnsi="Arial" w:cs="Arial"/>
          <w:b/>
          <w:sz w:val="24"/>
          <w:lang w:val="en"/>
        </w:rPr>
      </w:pPr>
      <w:r>
        <w:rPr>
          <w:rFonts w:ascii="Arial" w:hAnsi="Arial" w:cs="Arial"/>
          <w:b/>
          <w:sz w:val="24"/>
          <w:lang w:val="en"/>
        </w:rPr>
        <w:t>Interaction between SDA and SIL</w:t>
      </w:r>
    </w:p>
    <w:p w:rsidR="00BB6862" w:rsidRDefault="00BB6862" w:rsidP="000F3C0C">
      <w:pPr>
        <w:ind w:left="0" w:firstLine="0"/>
        <w:rPr>
          <w:rFonts w:cs="Arial"/>
          <w:lang w:val="en"/>
        </w:rPr>
      </w:pPr>
      <w:r w:rsidRPr="00CC6B12">
        <w:rPr>
          <w:rFonts w:cs="Arial"/>
          <w:lang w:val="en"/>
        </w:rPr>
        <w:t xml:space="preserve">Support and bricks and mortar interact in often subtle ways. </w:t>
      </w:r>
    </w:p>
    <w:p w:rsidR="00BB6862" w:rsidRPr="00CC6B12" w:rsidRDefault="00BB6862" w:rsidP="000F3C0C">
      <w:pPr>
        <w:ind w:left="0" w:firstLine="0"/>
        <w:rPr>
          <w:rFonts w:cs="Arial"/>
          <w:lang w:val="en"/>
        </w:rPr>
      </w:pPr>
      <w:r w:rsidRPr="00CC6B12">
        <w:rPr>
          <w:rFonts w:cs="Arial"/>
          <w:lang w:val="en"/>
        </w:rPr>
        <w:t xml:space="preserve">In some cases, </w:t>
      </w:r>
      <w:r w:rsidR="00622F80">
        <w:rPr>
          <w:rFonts w:cs="Arial"/>
          <w:lang w:val="en"/>
        </w:rPr>
        <w:t xml:space="preserve">the SDA framework has the </w:t>
      </w:r>
      <w:r w:rsidRPr="00CC6B12">
        <w:rPr>
          <w:rFonts w:cs="Arial"/>
          <w:lang w:val="en"/>
        </w:rPr>
        <w:t xml:space="preserve">potential to </w:t>
      </w:r>
      <w:r w:rsidR="007740D6">
        <w:rPr>
          <w:rFonts w:cs="Arial"/>
          <w:lang w:val="en"/>
        </w:rPr>
        <w:t>encourage</w:t>
      </w:r>
      <w:r w:rsidRPr="00CC6B12">
        <w:rPr>
          <w:rFonts w:cs="Arial"/>
          <w:lang w:val="en"/>
        </w:rPr>
        <w:t xml:space="preserve"> poor practice. </w:t>
      </w:r>
      <w:r w:rsidRPr="00FC37ED">
        <w:rPr>
          <w:rFonts w:cs="Arial"/>
        </w:rPr>
        <w:t>Pr</w:t>
      </w:r>
      <w:r w:rsidR="00622F80" w:rsidRPr="00FC37ED">
        <w:rPr>
          <w:rFonts w:cs="Arial"/>
        </w:rPr>
        <w:t>operties</w:t>
      </w:r>
      <w:r w:rsidR="00622F80">
        <w:rPr>
          <w:rFonts w:cs="Arial"/>
          <w:lang w:val="en"/>
        </w:rPr>
        <w:t xml:space="preserve"> categorised as ‘</w:t>
      </w:r>
      <w:r w:rsidRPr="00CC6B12">
        <w:rPr>
          <w:rFonts w:cs="Arial"/>
          <w:lang w:val="en"/>
        </w:rPr>
        <w:t>robust</w:t>
      </w:r>
      <w:r w:rsidR="00622F80">
        <w:rPr>
          <w:rFonts w:cs="Arial"/>
          <w:lang w:val="en"/>
        </w:rPr>
        <w:t>’</w:t>
      </w:r>
      <w:r w:rsidRPr="00CC6B12">
        <w:rPr>
          <w:rFonts w:cs="Arial"/>
          <w:lang w:val="en"/>
        </w:rPr>
        <w:t xml:space="preserve"> are </w:t>
      </w:r>
      <w:r w:rsidR="00622F80">
        <w:rPr>
          <w:rFonts w:cs="Arial"/>
          <w:lang w:val="en"/>
        </w:rPr>
        <w:t>generally used as homes for people with challenging behaviour</w:t>
      </w:r>
      <w:r w:rsidR="00D77281">
        <w:rPr>
          <w:rFonts w:cs="Arial"/>
          <w:lang w:val="en"/>
        </w:rPr>
        <w:t xml:space="preserve"> (also referred to as behaviours of concern)</w:t>
      </w:r>
      <w:r w:rsidR="00622F80">
        <w:rPr>
          <w:rFonts w:cs="Arial"/>
          <w:lang w:val="en"/>
        </w:rPr>
        <w:t xml:space="preserve">. Disappointingly, new robust build properties can be built to accommodate up to five people. </w:t>
      </w:r>
      <w:r w:rsidR="00D62B9C">
        <w:rPr>
          <w:rFonts w:cs="Arial"/>
          <w:lang w:val="en"/>
        </w:rPr>
        <w:t>As t</w:t>
      </w:r>
      <w:r w:rsidR="00622F80">
        <w:rPr>
          <w:rFonts w:cs="Arial"/>
          <w:lang w:val="en"/>
        </w:rPr>
        <w:t xml:space="preserve">he property owner </w:t>
      </w:r>
      <w:r w:rsidR="00D62B9C">
        <w:rPr>
          <w:rFonts w:cs="Arial"/>
          <w:lang w:val="en"/>
        </w:rPr>
        <w:t>will be interested in</w:t>
      </w:r>
      <w:r w:rsidR="00622F80">
        <w:rPr>
          <w:rFonts w:cs="Arial"/>
          <w:lang w:val="en"/>
        </w:rPr>
        <w:t xml:space="preserve"> maximis</w:t>
      </w:r>
      <w:r w:rsidR="00D62B9C">
        <w:rPr>
          <w:rFonts w:cs="Arial"/>
          <w:lang w:val="en"/>
        </w:rPr>
        <w:t>ing</w:t>
      </w:r>
      <w:r w:rsidR="00622F80">
        <w:rPr>
          <w:rFonts w:cs="Arial"/>
          <w:lang w:val="en"/>
        </w:rPr>
        <w:t xml:space="preserve"> </w:t>
      </w:r>
      <w:r w:rsidR="007704ED">
        <w:rPr>
          <w:rFonts w:cs="Arial"/>
          <w:lang w:val="en"/>
        </w:rPr>
        <w:t xml:space="preserve">the </w:t>
      </w:r>
      <w:r w:rsidR="00622F80">
        <w:rPr>
          <w:rFonts w:cs="Arial"/>
          <w:lang w:val="en"/>
        </w:rPr>
        <w:t>return</w:t>
      </w:r>
      <w:r w:rsidR="00D62B9C">
        <w:rPr>
          <w:rFonts w:cs="Arial"/>
          <w:lang w:val="en"/>
        </w:rPr>
        <w:t xml:space="preserve"> on their investment,</w:t>
      </w:r>
      <w:r w:rsidR="00622F80">
        <w:rPr>
          <w:rFonts w:cs="Arial"/>
          <w:lang w:val="en"/>
        </w:rPr>
        <w:t xml:space="preserve"> </w:t>
      </w:r>
      <w:r w:rsidR="00D62B9C">
        <w:rPr>
          <w:rFonts w:cs="Arial"/>
          <w:lang w:val="en"/>
        </w:rPr>
        <w:t xml:space="preserve">they are likely to want </w:t>
      </w:r>
      <w:r w:rsidR="00622F80">
        <w:rPr>
          <w:rFonts w:cs="Arial"/>
          <w:lang w:val="en"/>
        </w:rPr>
        <w:t xml:space="preserve">all residents </w:t>
      </w:r>
      <w:r w:rsidR="00D62B9C">
        <w:rPr>
          <w:rFonts w:cs="Arial"/>
          <w:lang w:val="en"/>
        </w:rPr>
        <w:t xml:space="preserve">to attract the robust build </w:t>
      </w:r>
      <w:r w:rsidR="007740D6">
        <w:rPr>
          <w:rFonts w:cs="Arial"/>
          <w:lang w:val="en"/>
        </w:rPr>
        <w:t xml:space="preserve">SDA </w:t>
      </w:r>
      <w:r w:rsidR="00D62B9C">
        <w:rPr>
          <w:rFonts w:cs="Arial"/>
          <w:lang w:val="en"/>
        </w:rPr>
        <w:t>funding level. This is contrary to research which indicates</w:t>
      </w:r>
      <w:r w:rsidRPr="00CC6B12">
        <w:rPr>
          <w:rFonts w:cs="Arial"/>
          <w:lang w:val="en"/>
        </w:rPr>
        <w:t xml:space="preserve"> that outcomes are better when people with behaviours of concern are not coresidents with one another</w:t>
      </w:r>
      <w:r w:rsidR="00622F80">
        <w:rPr>
          <w:rFonts w:cs="Arial"/>
          <w:lang w:val="en"/>
        </w:rPr>
        <w:t>.</w:t>
      </w:r>
      <w:r w:rsidR="00FC37ED">
        <w:rPr>
          <w:rFonts w:cs="Arial"/>
          <w:lang w:val="en"/>
        </w:rPr>
        <w:t xml:space="preserve"> [</w:t>
      </w:r>
      <w:r w:rsidR="00FC37ED" w:rsidRPr="00785C5B">
        <w:rPr>
          <w:rFonts w:cs="Arial"/>
          <w:szCs w:val="20"/>
        </w:rPr>
        <w:t>Raynes, 1980, cited i</w:t>
      </w:r>
      <w:r w:rsidR="00FC37ED">
        <w:rPr>
          <w:rFonts w:cs="Arial"/>
          <w:szCs w:val="20"/>
        </w:rPr>
        <w:t xml:space="preserve">n Mansell &amp; Beadle-Brown (2004), can be viewed </w:t>
      </w:r>
      <w:r w:rsidR="00FC37ED">
        <w:rPr>
          <w:rFonts w:cs="Arial"/>
          <w:szCs w:val="20"/>
        </w:rPr>
        <w:t xml:space="preserve">on the </w:t>
      </w:r>
      <w:hyperlink r:id="rId16" w:history="1">
        <w:r w:rsidR="00FC37ED">
          <w:rPr>
            <w:rStyle w:val="Hyperlink"/>
            <w:rFonts w:cs="Arial"/>
            <w:szCs w:val="20"/>
          </w:rPr>
          <w:t>online library</w:t>
        </w:r>
      </w:hyperlink>
      <w:r w:rsidR="00FC37ED">
        <w:rPr>
          <w:rFonts w:cs="Arial"/>
          <w:szCs w:val="20"/>
        </w:rPr>
        <w:t>]</w:t>
      </w:r>
    </w:p>
    <w:p w:rsidR="001F585F" w:rsidRPr="00FC37ED" w:rsidRDefault="00D62B9C" w:rsidP="000F3C0C">
      <w:pPr>
        <w:ind w:left="0" w:firstLine="0"/>
        <w:rPr>
          <w:rFonts w:cs="Arial"/>
        </w:rPr>
      </w:pPr>
      <w:r w:rsidRPr="00FC37ED">
        <w:rPr>
          <w:rFonts w:cs="Arial"/>
        </w:rPr>
        <w:t xml:space="preserve">This hints at another </w:t>
      </w:r>
      <w:r w:rsidR="001F585F" w:rsidRPr="00FC37ED">
        <w:rPr>
          <w:rFonts w:cs="Arial"/>
        </w:rPr>
        <w:t>problem which will emerge</w:t>
      </w:r>
      <w:r w:rsidR="007740D6" w:rsidRPr="00FC37ED">
        <w:rPr>
          <w:rFonts w:cs="Arial"/>
        </w:rPr>
        <w:t>.</w:t>
      </w:r>
      <w:r w:rsidR="001F585F" w:rsidRPr="00FC37ED">
        <w:rPr>
          <w:rFonts w:cs="Arial"/>
        </w:rPr>
        <w:t xml:space="preserve"> Because the SDA framework has been designed around tenancy, the ultimate decision about which residents can/will live together </w:t>
      </w:r>
      <w:r w:rsidR="007740D6" w:rsidRPr="00FC37ED">
        <w:rPr>
          <w:rFonts w:cs="Arial"/>
        </w:rPr>
        <w:t xml:space="preserve">ultimately </w:t>
      </w:r>
      <w:r w:rsidR="001F585F" w:rsidRPr="00FC37ED">
        <w:rPr>
          <w:rFonts w:cs="Arial"/>
        </w:rPr>
        <w:t xml:space="preserve">sits with </w:t>
      </w:r>
      <w:r w:rsidR="00D77281" w:rsidRPr="00FC37ED">
        <w:rPr>
          <w:rFonts w:cs="Arial"/>
        </w:rPr>
        <w:t>the SDA provider</w:t>
      </w:r>
      <w:r w:rsidR="001F585F" w:rsidRPr="00FC37ED">
        <w:rPr>
          <w:rFonts w:cs="Arial"/>
        </w:rPr>
        <w:t>. Increasingly, we can expect a property owner to have very limited knowledge of people with disability. While there is an expectation that participants can choose with whom they live</w:t>
      </w:r>
      <w:r w:rsidR="007704ED" w:rsidRPr="00FC37ED">
        <w:rPr>
          <w:rFonts w:cs="Arial"/>
        </w:rPr>
        <w:t xml:space="preserve"> and that a SIL provider is consulted</w:t>
      </w:r>
      <w:r w:rsidR="001F585F" w:rsidRPr="00FC37ED">
        <w:rPr>
          <w:rFonts w:cs="Arial"/>
        </w:rPr>
        <w:t xml:space="preserve">, </w:t>
      </w:r>
      <w:r w:rsidR="007704ED" w:rsidRPr="00FC37ED">
        <w:rPr>
          <w:rFonts w:cs="Arial"/>
        </w:rPr>
        <w:t xml:space="preserve">there is nothing to </w:t>
      </w:r>
      <w:r w:rsidR="006C342C" w:rsidRPr="00FC37ED">
        <w:rPr>
          <w:rFonts w:cs="Arial"/>
        </w:rPr>
        <w:t>mandate that</w:t>
      </w:r>
      <w:r w:rsidR="007704ED" w:rsidRPr="00FC37ED">
        <w:rPr>
          <w:rFonts w:cs="Arial"/>
        </w:rPr>
        <w:t xml:space="preserve"> this</w:t>
      </w:r>
      <w:r w:rsidR="006C342C" w:rsidRPr="00FC37ED">
        <w:rPr>
          <w:rFonts w:cs="Arial"/>
        </w:rPr>
        <w:t xml:space="preserve"> is</w:t>
      </w:r>
      <w:r w:rsidR="007704ED" w:rsidRPr="00FC37ED">
        <w:rPr>
          <w:rFonts w:cs="Arial"/>
        </w:rPr>
        <w:t xml:space="preserve"> to occur.</w:t>
      </w:r>
      <w:r w:rsidR="001F585F" w:rsidRPr="00FC37ED">
        <w:rPr>
          <w:rFonts w:cs="Arial"/>
        </w:rPr>
        <w:t xml:space="preserve"> </w:t>
      </w:r>
    </w:p>
    <w:p w:rsidR="00D62B9C" w:rsidRPr="00FC37ED" w:rsidRDefault="001F585F" w:rsidP="000F3C0C">
      <w:pPr>
        <w:ind w:left="0" w:firstLine="0"/>
        <w:rPr>
          <w:rFonts w:cs="Arial"/>
        </w:rPr>
      </w:pPr>
      <w:r w:rsidRPr="00FC37ED">
        <w:rPr>
          <w:rFonts w:cs="Arial"/>
        </w:rPr>
        <w:t>Incompatibility of residents of group homes is a significant factor in the violence that occurs between residents</w:t>
      </w:r>
      <w:r w:rsidR="00FC37ED">
        <w:rPr>
          <w:rFonts w:cs="Arial"/>
        </w:rPr>
        <w:t xml:space="preserve"> (s</w:t>
      </w:r>
      <w:r w:rsidR="00FC37ED" w:rsidRPr="00785C5B">
        <w:rPr>
          <w:rFonts w:cs="Arial"/>
        </w:rPr>
        <w:t xml:space="preserve">ee </w:t>
      </w:r>
      <w:r w:rsidR="00FC37ED">
        <w:rPr>
          <w:rFonts w:cs="Arial"/>
        </w:rPr>
        <w:t xml:space="preserve">Public Advocate, </w:t>
      </w:r>
      <w:hyperlink r:id="rId17" w:history="1">
        <w:r w:rsidR="00FC37ED">
          <w:rPr>
            <w:rStyle w:val="Hyperlink"/>
            <w:rFonts w:cs="Arial"/>
          </w:rPr>
          <w:t>Violence by co-residents in Group H</w:t>
        </w:r>
        <w:r w:rsidR="00FC37ED" w:rsidRPr="00FC37ED">
          <w:rPr>
            <w:rStyle w:val="Hyperlink"/>
            <w:rFonts w:cs="Arial"/>
          </w:rPr>
          <w:t>omes</w:t>
        </w:r>
      </w:hyperlink>
      <w:r w:rsidR="00FC37ED">
        <w:rPr>
          <w:rFonts w:cs="Arial"/>
        </w:rPr>
        <w:t>)</w:t>
      </w:r>
      <w:r w:rsidRPr="00FC37ED">
        <w:rPr>
          <w:rFonts w:cs="Arial"/>
        </w:rPr>
        <w:t xml:space="preserve">. The NDIA plays no </w:t>
      </w:r>
      <w:r w:rsidR="007704ED" w:rsidRPr="00FC37ED">
        <w:rPr>
          <w:rFonts w:cs="Arial"/>
        </w:rPr>
        <w:t>role</w:t>
      </w:r>
      <w:r w:rsidRPr="00FC37ED">
        <w:rPr>
          <w:rFonts w:cs="Arial"/>
        </w:rPr>
        <w:t xml:space="preserve"> in considering compatibility </w:t>
      </w:r>
      <w:r w:rsidR="007704ED" w:rsidRPr="00FC37ED">
        <w:rPr>
          <w:rFonts w:cs="Arial"/>
        </w:rPr>
        <w:t xml:space="preserve">of people living in SDA </w:t>
      </w:r>
      <w:r w:rsidRPr="00FC37ED">
        <w:rPr>
          <w:rFonts w:cs="Arial"/>
        </w:rPr>
        <w:t>(</w:t>
      </w:r>
      <w:r w:rsidR="00080575" w:rsidRPr="00FC37ED">
        <w:rPr>
          <w:rFonts w:cs="Arial"/>
        </w:rPr>
        <w:t xml:space="preserve">previously </w:t>
      </w:r>
      <w:r w:rsidRPr="00FC37ED">
        <w:rPr>
          <w:rFonts w:cs="Arial"/>
        </w:rPr>
        <w:t xml:space="preserve">this was </w:t>
      </w:r>
      <w:r w:rsidR="007740D6" w:rsidRPr="00FC37ED">
        <w:rPr>
          <w:rFonts w:cs="Arial"/>
        </w:rPr>
        <w:t>done</w:t>
      </w:r>
      <w:r w:rsidRPr="00FC37ED">
        <w:rPr>
          <w:rFonts w:cs="Arial"/>
        </w:rPr>
        <w:t xml:space="preserve"> by some state and territory government</w:t>
      </w:r>
      <w:r w:rsidR="00CA48F1" w:rsidRPr="00FC37ED">
        <w:rPr>
          <w:rFonts w:cs="Arial"/>
        </w:rPr>
        <w:t>s</w:t>
      </w:r>
      <w:r w:rsidR="007704ED" w:rsidRPr="00FC37ED">
        <w:rPr>
          <w:rFonts w:cs="Arial"/>
        </w:rPr>
        <w:t xml:space="preserve"> </w:t>
      </w:r>
      <w:r w:rsidRPr="00FC37ED">
        <w:rPr>
          <w:rFonts w:cs="Arial"/>
        </w:rPr>
        <w:t>through their vacancy management processes). Providers of SIL, who are working in the dwellings providing support</w:t>
      </w:r>
      <w:r w:rsidR="00664646" w:rsidRPr="00FC37ED">
        <w:rPr>
          <w:rFonts w:cs="Arial"/>
        </w:rPr>
        <w:t>,</w:t>
      </w:r>
      <w:r w:rsidR="00FA4DA6" w:rsidRPr="00FC37ED">
        <w:rPr>
          <w:rFonts w:cs="Arial"/>
        </w:rPr>
        <w:t xml:space="preserve"> may or may not be involved in discussions about the suitability of participants to live together. To believe the market will drive good decisions about who can live together is</w:t>
      </w:r>
      <w:r w:rsidR="006C342C" w:rsidRPr="00FC37ED">
        <w:rPr>
          <w:rFonts w:cs="Arial"/>
        </w:rPr>
        <w:t>, in our view,</w:t>
      </w:r>
      <w:r w:rsidR="00FA4DA6" w:rsidRPr="00FC37ED">
        <w:rPr>
          <w:rFonts w:cs="Arial"/>
        </w:rPr>
        <w:t xml:space="preserve"> naively optimistic. The framework around this needs urgent attention. </w:t>
      </w:r>
    </w:p>
    <w:p w:rsidR="00D62B9C" w:rsidRPr="00FC37ED" w:rsidRDefault="00FA4DA6" w:rsidP="000F3C0C">
      <w:pPr>
        <w:ind w:left="0" w:firstLine="0"/>
        <w:rPr>
          <w:rFonts w:cs="Arial"/>
        </w:rPr>
      </w:pPr>
      <w:r w:rsidRPr="00FC37ED">
        <w:rPr>
          <w:rFonts w:cs="Arial"/>
        </w:rPr>
        <w:t xml:space="preserve">The SDA market is structured around tenancy </w:t>
      </w:r>
      <w:r w:rsidR="003A6825" w:rsidRPr="00FC37ED">
        <w:rPr>
          <w:rFonts w:cs="Arial"/>
        </w:rPr>
        <w:t>rights and agreements</w:t>
      </w:r>
      <w:r w:rsidRPr="00FC37ED">
        <w:rPr>
          <w:rFonts w:cs="Arial"/>
        </w:rPr>
        <w:t xml:space="preserve">. </w:t>
      </w:r>
      <w:r w:rsidR="003A6825" w:rsidRPr="00FC37ED">
        <w:rPr>
          <w:rFonts w:cs="Arial"/>
        </w:rPr>
        <w:t xml:space="preserve">This may </w:t>
      </w:r>
      <w:r w:rsidRPr="00FC37ED">
        <w:rPr>
          <w:rFonts w:cs="Arial"/>
        </w:rPr>
        <w:t xml:space="preserve">give </w:t>
      </w:r>
      <w:r w:rsidR="007740D6" w:rsidRPr="00FC37ED">
        <w:rPr>
          <w:rFonts w:cs="Arial"/>
        </w:rPr>
        <w:t>some</w:t>
      </w:r>
      <w:r w:rsidRPr="00FC37ED">
        <w:rPr>
          <w:rFonts w:cs="Arial"/>
        </w:rPr>
        <w:t xml:space="preserve"> residents less security rather than more. It is possible that a tenant with a history of causing property damage may be </w:t>
      </w:r>
      <w:r w:rsidR="007740D6" w:rsidRPr="00FC37ED">
        <w:rPr>
          <w:rFonts w:cs="Arial"/>
        </w:rPr>
        <w:t>moved from property to property as their lease agreements expire.</w:t>
      </w:r>
      <w:r w:rsidRPr="00FC37ED">
        <w:rPr>
          <w:rFonts w:cs="Arial"/>
        </w:rPr>
        <w:t xml:space="preserve"> Safeguarding secure accommodation for someone with challenging behaviour has not been given the attention it requires.</w:t>
      </w:r>
    </w:p>
    <w:p w:rsidR="00622F80" w:rsidRPr="00FC37ED" w:rsidRDefault="00FA4DA6" w:rsidP="000F3C0C">
      <w:pPr>
        <w:ind w:left="0" w:firstLine="0"/>
        <w:rPr>
          <w:rFonts w:cs="Arial"/>
        </w:rPr>
      </w:pPr>
      <w:r w:rsidRPr="00FC37ED">
        <w:rPr>
          <w:rFonts w:cs="Arial"/>
        </w:rPr>
        <w:t xml:space="preserve">Finally, design of a property influences behaviour. SDA properties are being built by developers </w:t>
      </w:r>
      <w:r w:rsidR="006C342C" w:rsidRPr="00FC37ED">
        <w:rPr>
          <w:rFonts w:cs="Arial"/>
        </w:rPr>
        <w:t>possessing limi</w:t>
      </w:r>
      <w:r w:rsidRPr="00FC37ED">
        <w:rPr>
          <w:rFonts w:cs="Arial"/>
        </w:rPr>
        <w:t>ted knowledge of how</w:t>
      </w:r>
      <w:r w:rsidR="005E6748" w:rsidRPr="00FC37ED">
        <w:rPr>
          <w:rFonts w:cs="Arial"/>
        </w:rPr>
        <w:t xml:space="preserve">, for instance, the floor plan can help safeguard residents and the staff who support them. </w:t>
      </w:r>
      <w:r w:rsidR="00622F80" w:rsidRPr="00FC37ED">
        <w:rPr>
          <w:rFonts w:cs="Arial"/>
        </w:rPr>
        <w:t>For example, a person who exhibits challenging behaviour</w:t>
      </w:r>
      <w:r w:rsidR="005E6748" w:rsidRPr="00FC37ED">
        <w:rPr>
          <w:rFonts w:cs="Arial"/>
        </w:rPr>
        <w:t xml:space="preserve"> may move into a robust build which has features which exacerbate their behaviour</w:t>
      </w:r>
      <w:r w:rsidR="00080575" w:rsidRPr="00FC37ED">
        <w:rPr>
          <w:rFonts w:cs="Arial"/>
        </w:rPr>
        <w:t>s</w:t>
      </w:r>
      <w:r w:rsidR="005E6748" w:rsidRPr="00FC37ED">
        <w:rPr>
          <w:rFonts w:cs="Arial"/>
        </w:rPr>
        <w:t xml:space="preserve"> and undermine the </w:t>
      </w:r>
      <w:r w:rsidR="00622F80" w:rsidRPr="00FC37ED">
        <w:rPr>
          <w:rFonts w:cs="Arial"/>
        </w:rPr>
        <w:t xml:space="preserve">positive behaviour support plan </w:t>
      </w:r>
      <w:r w:rsidR="005E6748" w:rsidRPr="00FC37ED">
        <w:rPr>
          <w:rFonts w:cs="Arial"/>
        </w:rPr>
        <w:t>they are likely to have in place.</w:t>
      </w:r>
    </w:p>
    <w:p w:rsidR="00C9153E" w:rsidRPr="00FC37ED" w:rsidRDefault="00C9153E" w:rsidP="00FC37ED">
      <w:pPr>
        <w:pStyle w:val="Heading2"/>
        <w:ind w:left="357"/>
      </w:pPr>
      <w:r w:rsidRPr="00FC37ED">
        <w:t>Other matters</w:t>
      </w:r>
    </w:p>
    <w:p w:rsidR="00C9153E" w:rsidRPr="00345597" w:rsidRDefault="00753AC5" w:rsidP="000F3C0C">
      <w:pPr>
        <w:pStyle w:val="ListParagraph"/>
        <w:numPr>
          <w:ilvl w:val="0"/>
          <w:numId w:val="8"/>
        </w:numPr>
        <w:spacing w:before="240" w:after="240" w:line="240" w:lineRule="auto"/>
        <w:ind w:left="0" w:firstLine="0"/>
        <w:rPr>
          <w:rFonts w:ascii="Arial" w:hAnsi="Arial" w:cs="Arial"/>
          <w:b/>
          <w:sz w:val="24"/>
          <w:lang w:val="en"/>
        </w:rPr>
      </w:pPr>
      <w:r>
        <w:rPr>
          <w:rFonts w:ascii="Arial" w:hAnsi="Arial" w:cs="Arial"/>
          <w:b/>
          <w:sz w:val="24"/>
          <w:lang w:val="en"/>
        </w:rPr>
        <w:t>Is there a place for group homes?</w:t>
      </w:r>
    </w:p>
    <w:p w:rsidR="00E1592E" w:rsidRPr="00FC37ED" w:rsidRDefault="00E347DD" w:rsidP="000F3C0C">
      <w:pPr>
        <w:ind w:left="0" w:firstLine="0"/>
        <w:rPr>
          <w:rFonts w:cs="Arial"/>
        </w:rPr>
      </w:pPr>
      <w:r w:rsidRPr="00FC37ED">
        <w:rPr>
          <w:rFonts w:cs="Arial"/>
        </w:rPr>
        <w:t>We acknowledge t</w:t>
      </w:r>
      <w:r w:rsidR="00753AC5" w:rsidRPr="00FC37ED">
        <w:rPr>
          <w:rFonts w:cs="Arial"/>
        </w:rPr>
        <w:t xml:space="preserve">here are people who advocate for the closure of all group homes. </w:t>
      </w:r>
      <w:r w:rsidR="00E52CC2" w:rsidRPr="00FC37ED">
        <w:rPr>
          <w:rFonts w:cs="Arial"/>
        </w:rPr>
        <w:t>R</w:t>
      </w:r>
      <w:r w:rsidR="002C0890" w:rsidRPr="00FC37ED">
        <w:rPr>
          <w:rFonts w:cs="Arial"/>
        </w:rPr>
        <w:t xml:space="preserve">esearch </w:t>
      </w:r>
      <w:r w:rsidR="00753AC5" w:rsidRPr="00FC37ED">
        <w:rPr>
          <w:rFonts w:cs="Arial"/>
        </w:rPr>
        <w:t xml:space="preserve">does not provide the evidence that </w:t>
      </w:r>
      <w:r w:rsidR="00E52CC2" w:rsidRPr="00FC37ED">
        <w:rPr>
          <w:rFonts w:cs="Arial"/>
        </w:rPr>
        <w:t>this would lead to better lives for the people who live in them but it does inform us on what makes some group homes better than others.</w:t>
      </w:r>
      <w:r w:rsidR="00753AC5" w:rsidRPr="00FC37ED">
        <w:rPr>
          <w:rFonts w:cs="Arial"/>
        </w:rPr>
        <w:t xml:space="preserve"> </w:t>
      </w:r>
      <w:r w:rsidR="00E52CC2" w:rsidRPr="00FC37ED">
        <w:rPr>
          <w:rFonts w:cs="Arial"/>
        </w:rPr>
        <w:t>While research doesn’t tell us the optimal size</w:t>
      </w:r>
      <w:r w:rsidR="00AC0FDB" w:rsidRPr="00FC37ED">
        <w:rPr>
          <w:rFonts w:cs="Arial"/>
        </w:rPr>
        <w:t xml:space="preserve"> of a group home</w:t>
      </w:r>
      <w:r w:rsidR="00E52CC2" w:rsidRPr="00FC37ED">
        <w:rPr>
          <w:rFonts w:cs="Arial"/>
        </w:rPr>
        <w:t>, it does point to smaller dwellings being better than large</w:t>
      </w:r>
      <w:r w:rsidR="0023726C" w:rsidRPr="00FC37ED">
        <w:rPr>
          <w:rFonts w:cs="Arial"/>
        </w:rPr>
        <w:t>r ones</w:t>
      </w:r>
      <w:r w:rsidR="00E52CC2" w:rsidRPr="00FC37ED">
        <w:rPr>
          <w:rFonts w:cs="Arial"/>
        </w:rPr>
        <w:t xml:space="preserve">. More important to the quality of life for residents in a group home </w:t>
      </w:r>
      <w:r w:rsidR="00753AC5" w:rsidRPr="00FC37ED">
        <w:rPr>
          <w:rFonts w:cs="Arial"/>
        </w:rPr>
        <w:t xml:space="preserve">are factors such as: </w:t>
      </w:r>
      <w:r w:rsidR="002C0890" w:rsidRPr="00FC37ED">
        <w:rPr>
          <w:rFonts w:cs="Arial"/>
        </w:rPr>
        <w:t>organisational culture</w:t>
      </w:r>
      <w:r w:rsidR="00753AC5" w:rsidRPr="00FC37ED">
        <w:rPr>
          <w:rFonts w:cs="Arial"/>
        </w:rPr>
        <w:t>;</w:t>
      </w:r>
      <w:r w:rsidR="002C0890" w:rsidRPr="00FC37ED">
        <w:rPr>
          <w:rFonts w:cs="Arial"/>
        </w:rPr>
        <w:t xml:space="preserve"> </w:t>
      </w:r>
      <w:r w:rsidR="00753AC5" w:rsidRPr="00FC37ED">
        <w:rPr>
          <w:rFonts w:cs="Arial"/>
        </w:rPr>
        <w:t xml:space="preserve">the quality of </w:t>
      </w:r>
      <w:r w:rsidR="002C0890" w:rsidRPr="00FC37ED">
        <w:rPr>
          <w:rFonts w:cs="Arial"/>
        </w:rPr>
        <w:t>staff</w:t>
      </w:r>
      <w:r w:rsidR="00E1592E" w:rsidRPr="00FC37ED">
        <w:rPr>
          <w:rFonts w:cs="Arial"/>
        </w:rPr>
        <w:t xml:space="preserve">; </w:t>
      </w:r>
      <w:r w:rsidR="002C0890" w:rsidRPr="00FC37ED">
        <w:rPr>
          <w:rFonts w:cs="Arial"/>
        </w:rPr>
        <w:t>use of techniques such as Active Support</w:t>
      </w:r>
      <w:r w:rsidR="00E1592E" w:rsidRPr="00FC37ED">
        <w:rPr>
          <w:rFonts w:cs="Arial"/>
        </w:rPr>
        <w:t>; and provision of good supervision through methods such as practice leadership.</w:t>
      </w:r>
    </w:p>
    <w:p w:rsidR="00E52CC2" w:rsidRPr="00FC37ED" w:rsidRDefault="00E52CC2" w:rsidP="000F3C0C">
      <w:pPr>
        <w:ind w:left="0" w:firstLine="0"/>
        <w:rPr>
          <w:rFonts w:cs="Arial"/>
        </w:rPr>
      </w:pPr>
      <w:r w:rsidRPr="00FC37ED">
        <w:rPr>
          <w:rFonts w:cs="Arial"/>
        </w:rPr>
        <w:t>Group homes must be funded at levels that enable an organisation to focus on the things that improve the quality of support provided by staff.</w:t>
      </w:r>
    </w:p>
    <w:p w:rsidR="002C0890" w:rsidRPr="00FC37ED" w:rsidRDefault="002C0890" w:rsidP="000F3C0C">
      <w:pPr>
        <w:ind w:left="0" w:firstLine="0"/>
        <w:rPr>
          <w:rFonts w:cs="Arial"/>
        </w:rPr>
      </w:pPr>
      <w:r w:rsidRPr="00FC37ED">
        <w:rPr>
          <w:rFonts w:cs="Arial"/>
        </w:rPr>
        <w:t xml:space="preserve">An extensive literature review </w:t>
      </w:r>
      <w:r w:rsidR="00E52CC2" w:rsidRPr="00FC37ED">
        <w:rPr>
          <w:rFonts w:cs="Arial"/>
        </w:rPr>
        <w:t>was undertaken by Bigby and Beadle-Brown to identify the factors that help improve the outcomes for people living in group homes.</w:t>
      </w:r>
      <w:r w:rsidR="00FC37ED">
        <w:rPr>
          <w:rFonts w:cs="Arial"/>
        </w:rPr>
        <w:t xml:space="preserve"> [</w:t>
      </w:r>
      <w:r w:rsidR="00FC37ED" w:rsidRPr="00785C5B">
        <w:rPr>
          <w:rFonts w:cs="Arial"/>
          <w:szCs w:val="20"/>
        </w:rPr>
        <w:t>Bigby, C., and J. Beadle-Brown, Improving quality of life outcomes in supported accommodation for people with intellectual disability: What makes a difference? 2016, Journal of Applied Research in Intellectua</w:t>
      </w:r>
      <w:r w:rsidR="00FC37ED">
        <w:rPr>
          <w:rFonts w:cs="Arial"/>
          <w:szCs w:val="20"/>
        </w:rPr>
        <w:t xml:space="preserve">l Disabilities; Available from </w:t>
      </w:r>
      <w:hyperlink r:id="rId18" w:history="1">
        <w:r w:rsidR="00FC37ED" w:rsidRPr="00FC37ED">
          <w:rPr>
            <w:rStyle w:val="Hyperlink"/>
            <w:rFonts w:cs="Arial"/>
            <w:szCs w:val="20"/>
          </w:rPr>
          <w:t>online library</w:t>
        </w:r>
      </w:hyperlink>
      <w:r w:rsidR="00FC37ED">
        <w:rPr>
          <w:rFonts w:cs="Arial"/>
          <w:szCs w:val="20"/>
        </w:rPr>
        <w:t>].</w:t>
      </w:r>
      <w:r w:rsidRPr="00FC37ED">
        <w:rPr>
          <w:rFonts w:cs="Arial"/>
        </w:rPr>
        <w:t xml:space="preserve"> </w:t>
      </w:r>
      <w:r w:rsidR="00E52CC2" w:rsidRPr="00FC37ED">
        <w:rPr>
          <w:rFonts w:cs="Arial"/>
        </w:rPr>
        <w:t>Positive factors</w:t>
      </w:r>
      <w:r w:rsidRPr="00FC37ED">
        <w:rPr>
          <w:rFonts w:cs="Arial"/>
        </w:rPr>
        <w:t xml:space="preserve"> included:</w:t>
      </w:r>
    </w:p>
    <w:p w:rsidR="002C0890" w:rsidRPr="002C0890" w:rsidRDefault="00E52CC2" w:rsidP="00FC37ED">
      <w:pPr>
        <w:pStyle w:val="ListParagraph"/>
        <w:numPr>
          <w:ilvl w:val="0"/>
          <w:numId w:val="7"/>
        </w:numPr>
        <w:spacing w:before="240" w:after="240" w:line="240" w:lineRule="auto"/>
        <w:ind w:left="357" w:hanging="357"/>
        <w:rPr>
          <w:rFonts w:ascii="Arial" w:hAnsi="Arial" w:cs="Arial"/>
          <w:sz w:val="24"/>
        </w:rPr>
      </w:pPr>
      <w:r>
        <w:rPr>
          <w:rFonts w:ascii="Arial" w:hAnsi="Arial" w:cs="Arial"/>
          <w:sz w:val="24"/>
        </w:rPr>
        <w:t>s</w:t>
      </w:r>
      <w:r w:rsidR="002C0890" w:rsidRPr="002C0890">
        <w:rPr>
          <w:rFonts w:ascii="Arial" w:hAnsi="Arial" w:cs="Arial"/>
          <w:sz w:val="24"/>
        </w:rPr>
        <w:t>taff practice reflecting Active Support</w:t>
      </w:r>
    </w:p>
    <w:p w:rsidR="002C0890" w:rsidRPr="002C0890" w:rsidRDefault="00E52CC2" w:rsidP="00FC37ED">
      <w:pPr>
        <w:pStyle w:val="ListParagraph"/>
        <w:numPr>
          <w:ilvl w:val="0"/>
          <w:numId w:val="7"/>
        </w:numPr>
        <w:spacing w:before="240" w:after="240" w:line="240" w:lineRule="auto"/>
        <w:ind w:left="357" w:hanging="357"/>
        <w:rPr>
          <w:rFonts w:ascii="Arial" w:hAnsi="Arial" w:cs="Arial"/>
          <w:sz w:val="24"/>
        </w:rPr>
      </w:pPr>
      <w:r>
        <w:rPr>
          <w:rFonts w:ascii="Arial" w:hAnsi="Arial" w:cs="Arial"/>
          <w:sz w:val="24"/>
        </w:rPr>
        <w:t>f</w:t>
      </w:r>
      <w:r w:rsidR="002C0890" w:rsidRPr="002C0890">
        <w:rPr>
          <w:rFonts w:ascii="Arial" w:hAnsi="Arial" w:cs="Arial"/>
          <w:sz w:val="24"/>
        </w:rPr>
        <w:t>rontline management using all aspects of practice leadership</w:t>
      </w:r>
    </w:p>
    <w:p w:rsidR="002C0890" w:rsidRPr="002C0890" w:rsidRDefault="00E52CC2" w:rsidP="00FC37ED">
      <w:pPr>
        <w:pStyle w:val="ListParagraph"/>
        <w:numPr>
          <w:ilvl w:val="0"/>
          <w:numId w:val="7"/>
        </w:numPr>
        <w:spacing w:before="240" w:after="240" w:line="240" w:lineRule="auto"/>
        <w:ind w:left="357" w:hanging="357"/>
        <w:rPr>
          <w:rFonts w:ascii="Arial" w:hAnsi="Arial" w:cs="Arial"/>
          <w:sz w:val="24"/>
        </w:rPr>
      </w:pPr>
      <w:r>
        <w:rPr>
          <w:rFonts w:ascii="Arial" w:hAnsi="Arial" w:cs="Arial"/>
          <w:sz w:val="24"/>
        </w:rPr>
        <w:t>s</w:t>
      </w:r>
      <w:r w:rsidR="002C0890" w:rsidRPr="002C0890">
        <w:rPr>
          <w:rFonts w:ascii="Arial" w:hAnsi="Arial" w:cs="Arial"/>
          <w:sz w:val="24"/>
        </w:rPr>
        <w:t>ervice culture that is coherent, enabling, motivating and respectful</w:t>
      </w:r>
    </w:p>
    <w:p w:rsidR="002C0890" w:rsidRPr="002C0890" w:rsidRDefault="00E52CC2" w:rsidP="00FC37ED">
      <w:pPr>
        <w:pStyle w:val="ListParagraph"/>
        <w:numPr>
          <w:ilvl w:val="0"/>
          <w:numId w:val="7"/>
        </w:numPr>
        <w:spacing w:before="240" w:after="240" w:line="240" w:lineRule="auto"/>
        <w:ind w:left="357" w:hanging="357"/>
        <w:rPr>
          <w:rFonts w:ascii="Arial" w:hAnsi="Arial" w:cs="Arial"/>
          <w:sz w:val="24"/>
        </w:rPr>
      </w:pPr>
      <w:r>
        <w:rPr>
          <w:rFonts w:ascii="Arial" w:hAnsi="Arial" w:cs="Arial"/>
          <w:sz w:val="24"/>
        </w:rPr>
        <w:t>p</w:t>
      </w:r>
      <w:r w:rsidR="002C0890" w:rsidRPr="002C0890">
        <w:rPr>
          <w:rFonts w:ascii="Arial" w:hAnsi="Arial" w:cs="Arial"/>
          <w:sz w:val="24"/>
        </w:rPr>
        <w:t>rocesses to assist staff to focus their practice on engagement of service users</w:t>
      </w:r>
    </w:p>
    <w:p w:rsidR="002C0890" w:rsidRPr="002C0890" w:rsidRDefault="00E52CC2" w:rsidP="00FC37ED">
      <w:pPr>
        <w:pStyle w:val="ListParagraph"/>
        <w:numPr>
          <w:ilvl w:val="0"/>
          <w:numId w:val="7"/>
        </w:numPr>
        <w:spacing w:before="240" w:after="240" w:line="240" w:lineRule="auto"/>
        <w:ind w:left="357" w:hanging="357"/>
        <w:rPr>
          <w:rFonts w:ascii="Arial" w:hAnsi="Arial" w:cs="Arial"/>
          <w:sz w:val="24"/>
        </w:rPr>
      </w:pPr>
      <w:r>
        <w:rPr>
          <w:rFonts w:ascii="Arial" w:hAnsi="Arial" w:cs="Arial"/>
          <w:sz w:val="24"/>
        </w:rPr>
        <w:t>s</w:t>
      </w:r>
      <w:r w:rsidR="002C0890" w:rsidRPr="002C0890">
        <w:rPr>
          <w:rFonts w:ascii="Arial" w:hAnsi="Arial" w:cs="Arial"/>
          <w:sz w:val="24"/>
        </w:rPr>
        <w:t>ettings</w:t>
      </w:r>
      <w:r w:rsidR="00664646">
        <w:rPr>
          <w:rFonts w:ascii="Arial" w:hAnsi="Arial" w:cs="Arial"/>
          <w:sz w:val="24"/>
        </w:rPr>
        <w:t xml:space="preserve"> that</w:t>
      </w:r>
      <w:r w:rsidR="002C0890" w:rsidRPr="002C0890">
        <w:rPr>
          <w:rFonts w:ascii="Arial" w:hAnsi="Arial" w:cs="Arial"/>
          <w:sz w:val="24"/>
        </w:rPr>
        <w:t xml:space="preserve"> are small (one-to-six people), dispersed and homelike</w:t>
      </w:r>
    </w:p>
    <w:p w:rsidR="002C0890" w:rsidRPr="00FC37ED" w:rsidRDefault="002C0890" w:rsidP="000F3C0C">
      <w:pPr>
        <w:ind w:left="0" w:firstLine="0"/>
        <w:rPr>
          <w:rFonts w:cs="Arial"/>
        </w:rPr>
      </w:pPr>
      <w:r w:rsidRPr="00FC37ED">
        <w:rPr>
          <w:rFonts w:cs="Arial"/>
        </w:rPr>
        <w:t xml:space="preserve">Conversely, </w:t>
      </w:r>
      <w:r w:rsidR="00846621" w:rsidRPr="00FC37ED">
        <w:rPr>
          <w:rFonts w:cs="Arial"/>
        </w:rPr>
        <w:t>‘</w:t>
      </w:r>
      <w:r w:rsidRPr="00FC37ED">
        <w:rPr>
          <w:rFonts w:cs="Arial"/>
        </w:rPr>
        <w:t>underperforming</w:t>
      </w:r>
      <w:r w:rsidR="00846621" w:rsidRPr="00FC37ED">
        <w:rPr>
          <w:rFonts w:cs="Arial"/>
        </w:rPr>
        <w:t>’</w:t>
      </w:r>
      <w:r w:rsidRPr="00FC37ED">
        <w:rPr>
          <w:rFonts w:cs="Arial"/>
        </w:rPr>
        <w:t xml:space="preserve"> group homes </w:t>
      </w:r>
      <w:r w:rsidR="00846621" w:rsidRPr="00FC37ED">
        <w:rPr>
          <w:rFonts w:cs="Arial"/>
        </w:rPr>
        <w:t>often display the following:</w:t>
      </w:r>
    </w:p>
    <w:p w:rsidR="002C0890" w:rsidRPr="002C0890" w:rsidRDefault="00846621" w:rsidP="00FC37ED">
      <w:pPr>
        <w:pStyle w:val="ListParagraph"/>
        <w:numPr>
          <w:ilvl w:val="0"/>
          <w:numId w:val="7"/>
        </w:numPr>
        <w:spacing w:before="240" w:after="240" w:line="240" w:lineRule="auto"/>
        <w:ind w:left="357" w:hanging="357"/>
        <w:rPr>
          <w:rFonts w:ascii="Arial" w:hAnsi="Arial" w:cs="Arial"/>
          <w:sz w:val="24"/>
        </w:rPr>
      </w:pPr>
      <w:r>
        <w:rPr>
          <w:rFonts w:ascii="Arial" w:hAnsi="Arial" w:cs="Arial"/>
          <w:sz w:val="24"/>
        </w:rPr>
        <w:t>m</w:t>
      </w:r>
      <w:r w:rsidR="002C0890" w:rsidRPr="002C0890">
        <w:rPr>
          <w:rFonts w:ascii="Arial" w:hAnsi="Arial" w:cs="Arial"/>
          <w:sz w:val="24"/>
        </w:rPr>
        <w:t>isalignment of power-holders’ values with organisation’s espoused values</w:t>
      </w:r>
    </w:p>
    <w:p w:rsidR="002C0890" w:rsidRPr="002C0890" w:rsidRDefault="00846621" w:rsidP="00FC37ED">
      <w:pPr>
        <w:pStyle w:val="ListParagraph"/>
        <w:numPr>
          <w:ilvl w:val="0"/>
          <w:numId w:val="7"/>
        </w:numPr>
        <w:spacing w:before="240" w:after="240" w:line="240" w:lineRule="auto"/>
        <w:ind w:left="357" w:hanging="357"/>
        <w:rPr>
          <w:rFonts w:ascii="Arial" w:hAnsi="Arial" w:cs="Arial"/>
          <w:sz w:val="24"/>
        </w:rPr>
      </w:pPr>
      <w:r>
        <w:rPr>
          <w:rFonts w:ascii="Arial" w:hAnsi="Arial" w:cs="Arial"/>
          <w:sz w:val="24"/>
        </w:rPr>
        <w:t>r</w:t>
      </w:r>
      <w:r w:rsidR="002C0890" w:rsidRPr="002C0890">
        <w:rPr>
          <w:rFonts w:ascii="Arial" w:hAnsi="Arial" w:cs="Arial"/>
          <w:sz w:val="24"/>
        </w:rPr>
        <w:t>egarding of residents as “other”</w:t>
      </w:r>
    </w:p>
    <w:p w:rsidR="002C0890" w:rsidRPr="002C0890" w:rsidRDefault="00846621" w:rsidP="00FC37ED">
      <w:pPr>
        <w:pStyle w:val="ListParagraph"/>
        <w:numPr>
          <w:ilvl w:val="0"/>
          <w:numId w:val="7"/>
        </w:numPr>
        <w:spacing w:before="240" w:after="240" w:line="240" w:lineRule="auto"/>
        <w:ind w:left="357" w:hanging="357"/>
        <w:rPr>
          <w:rFonts w:ascii="Arial" w:hAnsi="Arial" w:cs="Arial"/>
          <w:sz w:val="24"/>
        </w:rPr>
      </w:pPr>
      <w:r>
        <w:rPr>
          <w:rFonts w:ascii="Arial" w:hAnsi="Arial" w:cs="Arial"/>
          <w:sz w:val="24"/>
        </w:rPr>
        <w:t>d</w:t>
      </w:r>
      <w:r w:rsidR="002C0890" w:rsidRPr="002C0890">
        <w:rPr>
          <w:rFonts w:ascii="Arial" w:hAnsi="Arial" w:cs="Arial"/>
          <w:sz w:val="24"/>
        </w:rPr>
        <w:t>oing for, rather than doing with</w:t>
      </w:r>
    </w:p>
    <w:p w:rsidR="002C0890" w:rsidRPr="002C0890" w:rsidRDefault="00846621" w:rsidP="00FC37ED">
      <w:pPr>
        <w:pStyle w:val="ListParagraph"/>
        <w:numPr>
          <w:ilvl w:val="0"/>
          <w:numId w:val="7"/>
        </w:numPr>
        <w:spacing w:before="240" w:after="240" w:line="240" w:lineRule="auto"/>
        <w:ind w:left="357" w:hanging="357"/>
        <w:rPr>
          <w:rFonts w:ascii="Arial" w:hAnsi="Arial" w:cs="Arial"/>
          <w:sz w:val="24"/>
        </w:rPr>
      </w:pPr>
      <w:r>
        <w:rPr>
          <w:rFonts w:ascii="Arial" w:hAnsi="Arial" w:cs="Arial"/>
          <w:sz w:val="24"/>
        </w:rPr>
        <w:t>s</w:t>
      </w:r>
      <w:r w:rsidR="002C0890" w:rsidRPr="002C0890">
        <w:rPr>
          <w:rFonts w:ascii="Arial" w:hAnsi="Arial" w:cs="Arial"/>
          <w:sz w:val="24"/>
        </w:rPr>
        <w:t>taff-centred, rather than client-centred practices</w:t>
      </w:r>
    </w:p>
    <w:p w:rsidR="002C0890" w:rsidRPr="002C0890" w:rsidRDefault="00846621" w:rsidP="00FC37ED">
      <w:pPr>
        <w:pStyle w:val="ListParagraph"/>
        <w:numPr>
          <w:ilvl w:val="0"/>
          <w:numId w:val="7"/>
        </w:numPr>
        <w:spacing w:before="240" w:after="240" w:line="240" w:lineRule="auto"/>
        <w:ind w:left="360"/>
        <w:rPr>
          <w:rFonts w:ascii="Arial" w:hAnsi="Arial" w:cs="Arial"/>
          <w:sz w:val="24"/>
        </w:rPr>
      </w:pPr>
      <w:r>
        <w:rPr>
          <w:rFonts w:ascii="Arial" w:hAnsi="Arial" w:cs="Arial"/>
          <w:sz w:val="24"/>
        </w:rPr>
        <w:t>r</w:t>
      </w:r>
      <w:r w:rsidR="002C0890" w:rsidRPr="002C0890">
        <w:rPr>
          <w:rFonts w:ascii="Arial" w:hAnsi="Arial" w:cs="Arial"/>
          <w:sz w:val="24"/>
        </w:rPr>
        <w:t>esistance to change and new ideas</w:t>
      </w:r>
      <w:r w:rsidR="00FC37ED">
        <w:rPr>
          <w:rFonts w:ascii="Arial" w:hAnsi="Arial" w:cs="Arial"/>
          <w:sz w:val="24"/>
        </w:rPr>
        <w:t xml:space="preserve"> [</w:t>
      </w:r>
      <w:r w:rsidR="00FC37ED" w:rsidRPr="00FC37ED">
        <w:rPr>
          <w:rFonts w:ascii="Arial" w:hAnsi="Arial" w:cs="Arial"/>
          <w:sz w:val="24"/>
        </w:rPr>
        <w:t>Bigby, C., Knox, M., Beadle-Brown J., Clement, T. and Mansell, J. (2012). Uncovering Dimensions of Culture in Underperforming Group Homes for People with Severe Intellectual Disability, Intellectual and developmental disabilities, 50, pp. 452–67</w:t>
      </w:r>
      <w:r w:rsidR="00FC37ED">
        <w:rPr>
          <w:rFonts w:ascii="Arial" w:hAnsi="Arial" w:cs="Arial"/>
          <w:sz w:val="24"/>
        </w:rPr>
        <w:t>]</w:t>
      </w:r>
    </w:p>
    <w:p w:rsidR="002C0890" w:rsidRDefault="00EA4C31" w:rsidP="000F3C0C">
      <w:pPr>
        <w:ind w:left="0" w:firstLine="0"/>
        <w:rPr>
          <w:rFonts w:cs="Arial"/>
          <w:lang w:val="en"/>
        </w:rPr>
      </w:pPr>
      <w:r w:rsidRPr="00FC37ED">
        <w:rPr>
          <w:rFonts w:cs="Arial"/>
        </w:rPr>
        <w:t xml:space="preserve">NDS commissioned La Trobe University to develop ‘A </w:t>
      </w:r>
      <w:r w:rsidR="002C0890" w:rsidRPr="00FC37ED">
        <w:rPr>
          <w:rFonts w:cs="Arial"/>
        </w:rPr>
        <w:t>Guide to Good Group Homes</w:t>
      </w:r>
      <w:r w:rsidRPr="00FC37ED">
        <w:rPr>
          <w:rFonts w:cs="Arial"/>
        </w:rPr>
        <w:t>’</w:t>
      </w:r>
      <w:r w:rsidR="002C0890" w:rsidRPr="00FC37ED">
        <w:rPr>
          <w:rFonts w:cs="Arial"/>
        </w:rPr>
        <w:t xml:space="preserve"> </w:t>
      </w:r>
      <w:r w:rsidRPr="00FC37ED">
        <w:rPr>
          <w:rFonts w:cs="Arial"/>
        </w:rPr>
        <w:t>(</w:t>
      </w:r>
      <w:r w:rsidR="002C0890" w:rsidRPr="00FC37ED">
        <w:rPr>
          <w:rFonts w:cs="Arial"/>
        </w:rPr>
        <w:t>2017</w:t>
      </w:r>
      <w:r w:rsidRPr="00FC37ED">
        <w:rPr>
          <w:rFonts w:cs="Arial"/>
        </w:rPr>
        <w:t xml:space="preserve">), </w:t>
      </w:r>
      <w:r w:rsidR="002C0890" w:rsidRPr="00FC37ED">
        <w:rPr>
          <w:rFonts w:cs="Arial"/>
        </w:rPr>
        <w:t>informed by the above research</w:t>
      </w:r>
      <w:r w:rsidR="0094454E">
        <w:rPr>
          <w:rFonts w:cs="Arial"/>
        </w:rPr>
        <w:t xml:space="preserve"> (t</w:t>
      </w:r>
      <w:r w:rsidR="0094454E" w:rsidRPr="00785C5B">
        <w:rPr>
          <w:rFonts w:cs="Arial"/>
        </w:rPr>
        <w:t xml:space="preserve">he guides can be found </w:t>
      </w:r>
      <w:r w:rsidR="0094454E">
        <w:rPr>
          <w:rFonts w:cs="Arial"/>
        </w:rPr>
        <w:t xml:space="preserve">on the </w:t>
      </w:r>
      <w:hyperlink r:id="rId19" w:history="1">
        <w:r w:rsidR="0094454E" w:rsidRPr="0094454E">
          <w:rPr>
            <w:rStyle w:val="Hyperlink"/>
            <w:rFonts w:cs="Arial"/>
          </w:rPr>
          <w:t>CADR website</w:t>
        </w:r>
      </w:hyperlink>
      <w:r w:rsidR="0094454E">
        <w:rPr>
          <w:rFonts w:cs="Arial"/>
        </w:rPr>
        <w:t>)</w:t>
      </w:r>
      <w:r w:rsidRPr="00FC37ED">
        <w:rPr>
          <w:rFonts w:cs="Arial"/>
        </w:rPr>
        <w:t>.</w:t>
      </w:r>
      <w:r w:rsidR="002C0890" w:rsidRPr="00FC37ED">
        <w:rPr>
          <w:rFonts w:cs="Arial"/>
        </w:rPr>
        <w:t xml:space="preserve"> The guide considers practice, culture, design and resources, policy and procedures, and external factors (such as regulation and community attitudes). In </w:t>
      </w:r>
      <w:r w:rsidR="00C44891" w:rsidRPr="00FC37ED">
        <w:rPr>
          <w:rFonts w:cs="Arial"/>
        </w:rPr>
        <w:t>translating</w:t>
      </w:r>
      <w:r w:rsidR="002C0890" w:rsidRPr="00FC37ED">
        <w:rPr>
          <w:rFonts w:cs="Arial"/>
        </w:rPr>
        <w:t xml:space="preserve"> the research</w:t>
      </w:r>
      <w:r w:rsidR="00C44891" w:rsidRPr="00FC37ED">
        <w:rPr>
          <w:rFonts w:cs="Arial"/>
        </w:rPr>
        <w:t xml:space="preserve"> evidence</w:t>
      </w:r>
      <w:r w:rsidR="002C0890" w:rsidRPr="00FC37ED">
        <w:rPr>
          <w:rFonts w:cs="Arial"/>
        </w:rPr>
        <w:t>, the guide represents a practical tool service providers can use to gauge their service provision against when considering its quality.</w:t>
      </w:r>
      <w:r w:rsidRPr="00FC37ED">
        <w:rPr>
          <w:rFonts w:cs="Arial"/>
        </w:rPr>
        <w:t xml:space="preserve"> </w:t>
      </w:r>
      <w:r w:rsidR="0094454E">
        <w:rPr>
          <w:rFonts w:cs="Arial"/>
        </w:rPr>
        <w:t>[</w:t>
      </w:r>
      <w:r w:rsidR="0094454E" w:rsidRPr="00785C5B">
        <w:rPr>
          <w:rFonts w:cs="Arial"/>
        </w:rPr>
        <w:t>Ibid., see Figure 1 in the Practice Guide Checklist</w:t>
      </w:r>
      <w:r w:rsidR="0094454E">
        <w:rPr>
          <w:rFonts w:cs="Arial"/>
        </w:rPr>
        <w:t>]</w:t>
      </w:r>
      <w:r w:rsidR="0094454E" w:rsidRPr="00FC37ED">
        <w:rPr>
          <w:rFonts w:cs="Arial"/>
        </w:rPr>
        <w:t xml:space="preserve"> </w:t>
      </w:r>
      <w:r w:rsidRPr="00FC37ED">
        <w:rPr>
          <w:rFonts w:cs="Arial"/>
        </w:rPr>
        <w:t>This material is supported by a guide to assist</w:t>
      </w:r>
      <w:r>
        <w:rPr>
          <w:rFonts w:cs="Arial"/>
          <w:lang w:val="en"/>
        </w:rPr>
        <w:t xml:space="preserve"> people with disability and their families make decisions about supported living arrangements.</w:t>
      </w:r>
    </w:p>
    <w:p w:rsidR="00783D86" w:rsidRPr="0094454E" w:rsidRDefault="00783D86" w:rsidP="000F3C0C">
      <w:pPr>
        <w:ind w:left="0" w:firstLine="0"/>
        <w:rPr>
          <w:rFonts w:cs="Arial"/>
        </w:rPr>
      </w:pPr>
      <w:r w:rsidRPr="0094454E">
        <w:rPr>
          <w:rFonts w:cs="Arial"/>
        </w:rPr>
        <w:t>NDS has promoted the use of this material by disability service providers.</w:t>
      </w:r>
    </w:p>
    <w:p w:rsidR="00846E91" w:rsidRPr="0094454E" w:rsidRDefault="00A112AE" w:rsidP="000F3C0C">
      <w:pPr>
        <w:ind w:left="0" w:firstLine="0"/>
        <w:rPr>
          <w:rFonts w:cs="Arial"/>
        </w:rPr>
      </w:pPr>
      <w:r w:rsidRPr="0094454E">
        <w:rPr>
          <w:rFonts w:cs="Arial"/>
        </w:rPr>
        <w:t>For people with significant disability, liv</w:t>
      </w:r>
      <w:r w:rsidR="00672721" w:rsidRPr="0094454E">
        <w:rPr>
          <w:rFonts w:cs="Arial"/>
        </w:rPr>
        <w:t>ing</w:t>
      </w:r>
      <w:r w:rsidRPr="0094454E">
        <w:rPr>
          <w:rFonts w:cs="Arial"/>
        </w:rPr>
        <w:t xml:space="preserve"> alone may place them at increased risk of abuse from a staff member or other person, and it may isolate them to the point that the main contact they have is with a paid staff member. </w:t>
      </w:r>
      <w:r w:rsidR="00846E91" w:rsidRPr="0094454E">
        <w:rPr>
          <w:rFonts w:cs="Arial"/>
        </w:rPr>
        <w:t>Loneliness and isolation can result. They may also have limited income, making living alone unaffordable (particularly if they are not eligible for SDA funding).</w:t>
      </w:r>
    </w:p>
    <w:p w:rsidR="00A112AE" w:rsidRPr="0094454E" w:rsidRDefault="00A112AE" w:rsidP="000F3C0C">
      <w:pPr>
        <w:ind w:left="0" w:firstLine="0"/>
        <w:rPr>
          <w:rFonts w:cs="Arial"/>
        </w:rPr>
      </w:pPr>
      <w:r w:rsidRPr="0094454E">
        <w:rPr>
          <w:rFonts w:cs="Arial"/>
        </w:rPr>
        <w:t xml:space="preserve">These factors make decisions about the </w:t>
      </w:r>
      <w:r w:rsidR="00AC0FDB" w:rsidRPr="0094454E">
        <w:rPr>
          <w:rFonts w:cs="Arial"/>
        </w:rPr>
        <w:t xml:space="preserve">optimal number of people living together in a shared support arrangement </w:t>
      </w:r>
      <w:r w:rsidRPr="0094454E">
        <w:rPr>
          <w:rFonts w:cs="Arial"/>
        </w:rPr>
        <w:t>more difficult.</w:t>
      </w:r>
    </w:p>
    <w:p w:rsidR="00CC6B12" w:rsidRPr="0094454E" w:rsidRDefault="0089584D" w:rsidP="0094454E">
      <w:pPr>
        <w:pStyle w:val="Heading2"/>
        <w:ind w:left="357"/>
      </w:pPr>
      <w:bookmarkStart w:id="2" w:name="_gpvvxgc5zfli" w:colFirst="0" w:colLast="0"/>
      <w:bookmarkEnd w:id="2"/>
      <w:r w:rsidRPr="0094454E">
        <w:t>Matters from the Issues Paper not addressed above</w:t>
      </w:r>
    </w:p>
    <w:p w:rsidR="0089584D" w:rsidRPr="009C42B8" w:rsidRDefault="0089584D" w:rsidP="0094454E">
      <w:pPr>
        <w:pStyle w:val="ListParagraph"/>
        <w:numPr>
          <w:ilvl w:val="0"/>
          <w:numId w:val="10"/>
        </w:numPr>
        <w:spacing w:before="240" w:after="240" w:line="240" w:lineRule="auto"/>
        <w:ind w:left="357" w:hanging="357"/>
        <w:rPr>
          <w:rFonts w:ascii="Arial" w:hAnsi="Arial" w:cs="Arial"/>
          <w:b/>
          <w:sz w:val="24"/>
          <w:lang w:val="en"/>
        </w:rPr>
      </w:pPr>
      <w:r w:rsidRPr="009C42B8">
        <w:rPr>
          <w:rFonts w:ascii="Arial" w:hAnsi="Arial" w:cs="Arial"/>
          <w:b/>
          <w:sz w:val="24"/>
          <w:lang w:val="en"/>
        </w:rPr>
        <w:t>Quality of life in a group home and the alternatives</w:t>
      </w:r>
    </w:p>
    <w:p w:rsidR="00CC6B12" w:rsidRPr="0094454E" w:rsidRDefault="00CC6B12" w:rsidP="000F3C0C">
      <w:pPr>
        <w:ind w:left="0" w:firstLine="0"/>
        <w:rPr>
          <w:rFonts w:cs="Arial"/>
        </w:rPr>
      </w:pPr>
      <w:r w:rsidRPr="0094454E">
        <w:rPr>
          <w:rFonts w:cs="Arial"/>
        </w:rPr>
        <w:t xml:space="preserve">Fundamental to people exercising their rights is that they have choice over where and with whom they live. As noted above, research suggests that the group homes model is not negative or positive per se, but that </w:t>
      </w:r>
      <w:r w:rsidR="0089584D" w:rsidRPr="0094454E">
        <w:rPr>
          <w:rFonts w:cs="Arial"/>
        </w:rPr>
        <w:t xml:space="preserve">a number of </w:t>
      </w:r>
      <w:r w:rsidRPr="0094454E">
        <w:rPr>
          <w:rFonts w:cs="Arial"/>
        </w:rPr>
        <w:t xml:space="preserve">organisational factors are </w:t>
      </w:r>
      <w:r w:rsidR="0089584D" w:rsidRPr="0094454E">
        <w:rPr>
          <w:rFonts w:cs="Arial"/>
        </w:rPr>
        <w:t>required to deliver</w:t>
      </w:r>
      <w:r w:rsidRPr="0094454E">
        <w:rPr>
          <w:rFonts w:cs="Arial"/>
        </w:rPr>
        <w:t xml:space="preserve"> good outcomes. </w:t>
      </w:r>
      <w:r w:rsidR="0094454E">
        <w:rPr>
          <w:rFonts w:cs="Arial"/>
        </w:rPr>
        <w:t xml:space="preserve">[ </w:t>
      </w:r>
      <w:r w:rsidR="0094454E" w:rsidRPr="00785C5B">
        <w:rPr>
          <w:rFonts w:cs="Arial"/>
        </w:rPr>
        <w:t>Bigby, C., and J. Beadle-Brown, Improving quality of life outcomes in supported accommodation for people with intellectual disability: What makes a difference? 2016, Journal of Applied Research in Intellectu</w:t>
      </w:r>
      <w:r w:rsidR="0094454E">
        <w:rPr>
          <w:rFonts w:cs="Arial"/>
        </w:rPr>
        <w:t xml:space="preserve">al Disabilities; Available from the </w:t>
      </w:r>
      <w:hyperlink r:id="rId20" w:history="1">
        <w:r w:rsidR="0094454E" w:rsidRPr="0094454E">
          <w:rPr>
            <w:rStyle w:val="Hyperlink"/>
            <w:rFonts w:cs="Arial"/>
          </w:rPr>
          <w:t>online library</w:t>
        </w:r>
      </w:hyperlink>
      <w:r w:rsidR="0094454E">
        <w:rPr>
          <w:rFonts w:cs="Arial"/>
        </w:rPr>
        <w:t xml:space="preserve">]. </w:t>
      </w:r>
      <w:r w:rsidR="0089584D" w:rsidRPr="0094454E">
        <w:rPr>
          <w:rFonts w:cs="Arial"/>
        </w:rPr>
        <w:t>Living alone is not the preferred option of many Australians. G</w:t>
      </w:r>
      <w:r w:rsidRPr="0094454E">
        <w:rPr>
          <w:rFonts w:cs="Arial"/>
        </w:rPr>
        <w:t>roup home</w:t>
      </w:r>
      <w:r w:rsidR="0089584D" w:rsidRPr="0094454E">
        <w:rPr>
          <w:rFonts w:cs="Arial"/>
        </w:rPr>
        <w:t>s</w:t>
      </w:r>
      <w:r w:rsidRPr="0094454E">
        <w:rPr>
          <w:rFonts w:cs="Arial"/>
        </w:rPr>
        <w:t xml:space="preserve"> </w:t>
      </w:r>
      <w:r w:rsidR="0089584D" w:rsidRPr="0094454E">
        <w:rPr>
          <w:rFonts w:cs="Arial"/>
        </w:rPr>
        <w:t>should be</w:t>
      </w:r>
      <w:r w:rsidRPr="0094454E">
        <w:rPr>
          <w:rFonts w:cs="Arial"/>
        </w:rPr>
        <w:t xml:space="preserve"> one </w:t>
      </w:r>
      <w:r w:rsidR="0089584D" w:rsidRPr="0094454E">
        <w:rPr>
          <w:rFonts w:cs="Arial"/>
        </w:rPr>
        <w:t>option available to a person with disability but not the only option.</w:t>
      </w:r>
      <w:r w:rsidR="00D539FE" w:rsidRPr="0094454E">
        <w:rPr>
          <w:rFonts w:cs="Arial"/>
        </w:rPr>
        <w:t xml:space="preserve"> To support this, we should be seeking ways to give people with disability greater ability to determine whom they live with.</w:t>
      </w:r>
    </w:p>
    <w:p w:rsidR="00CC6B12" w:rsidRPr="0094454E" w:rsidRDefault="0089584D" w:rsidP="000F3C0C">
      <w:pPr>
        <w:ind w:left="0" w:firstLine="0"/>
        <w:rPr>
          <w:rFonts w:cs="Arial"/>
        </w:rPr>
      </w:pPr>
      <w:r w:rsidRPr="0094454E">
        <w:rPr>
          <w:rFonts w:cs="Arial"/>
        </w:rPr>
        <w:t>Recent r</w:t>
      </w:r>
      <w:r w:rsidR="00CC6B12" w:rsidRPr="0094454E">
        <w:rPr>
          <w:rFonts w:cs="Arial"/>
        </w:rPr>
        <w:t>esearch involving people living in group homes and those living in supported living suggested limited difference in quality of life experienced between the two groups</w:t>
      </w:r>
      <w:r w:rsidR="0094454E">
        <w:rPr>
          <w:rFonts w:cs="Arial"/>
        </w:rPr>
        <w:t xml:space="preserve"> (</w:t>
      </w:r>
      <w:hyperlink r:id="rId21">
        <w:r w:rsidR="0094454E" w:rsidRPr="00785C5B">
          <w:rPr>
            <w:rFonts w:cs="Arial"/>
            <w:color w:val="1155CC"/>
            <w:u w:val="single"/>
          </w:rPr>
          <w:t>Comparing costs and outcomes of supported living with group homes in Australia (2018)</w:t>
        </w:r>
      </w:hyperlink>
      <w:r w:rsidR="0094454E" w:rsidRPr="0094454E">
        <w:t>)</w:t>
      </w:r>
      <w:r w:rsidR="00CC6B12" w:rsidRPr="0094454E">
        <w:rPr>
          <w:rFonts w:cs="Arial"/>
        </w:rPr>
        <w:t>. Nonetheless, it noted significant room for improvement in both models and concluded that “a sizeable minority” living in group homes could be living independently. It was suggested that this may not only benefit the person, but would also be a more efficient use of resources. The researchers suggest more initiatives are required to allow these people to trial alternative models to test whether it appeals to them.</w:t>
      </w:r>
    </w:p>
    <w:p w:rsidR="00CC6B12" w:rsidRPr="0094454E" w:rsidRDefault="00D539FE" w:rsidP="000F3C0C">
      <w:pPr>
        <w:ind w:left="0" w:firstLine="0"/>
        <w:rPr>
          <w:rFonts w:cs="Arial"/>
        </w:rPr>
      </w:pPr>
      <w:r w:rsidRPr="0094454E">
        <w:rPr>
          <w:rFonts w:cs="Arial"/>
        </w:rPr>
        <w:t xml:space="preserve">The NDIA is investigating the availability of Individual Living Options </w:t>
      </w:r>
      <w:r w:rsidR="0094454E">
        <w:rPr>
          <w:rFonts w:cs="Arial"/>
        </w:rPr>
        <w:t xml:space="preserve">(see NDIS </w:t>
      </w:r>
      <w:hyperlink r:id="rId22" w:history="1">
        <w:r w:rsidR="0094454E" w:rsidRPr="0094454E">
          <w:rPr>
            <w:rStyle w:val="Hyperlink"/>
            <w:rFonts w:cs="Arial"/>
          </w:rPr>
          <w:t>Individual Living Options</w:t>
        </w:r>
      </w:hyperlink>
      <w:r w:rsidR="0094454E">
        <w:rPr>
          <w:rFonts w:cs="Arial"/>
        </w:rPr>
        <w:t xml:space="preserve">) </w:t>
      </w:r>
      <w:r w:rsidRPr="0094454E">
        <w:rPr>
          <w:rFonts w:cs="Arial"/>
        </w:rPr>
        <w:t>as alternatives to group homes. These have merit but come with their own safeguarding challenges. It is also hard to see some of the options scaling to become available to many participants (such as a host family</w:t>
      </w:r>
      <w:r w:rsidR="003A6825" w:rsidRPr="0094454E">
        <w:rPr>
          <w:rFonts w:cs="Arial"/>
        </w:rPr>
        <w:t xml:space="preserve"> model</w:t>
      </w:r>
      <w:r w:rsidRPr="0094454E">
        <w:rPr>
          <w:rFonts w:cs="Arial"/>
        </w:rPr>
        <w:t>).</w:t>
      </w:r>
    </w:p>
    <w:p w:rsidR="008C2E74" w:rsidRPr="0094454E" w:rsidRDefault="008C2E74" w:rsidP="000F3C0C">
      <w:pPr>
        <w:ind w:left="0" w:firstLine="0"/>
        <w:rPr>
          <w:rFonts w:cs="Arial"/>
        </w:rPr>
      </w:pPr>
      <w:r w:rsidRPr="0094454E">
        <w:rPr>
          <w:rFonts w:cs="Arial"/>
        </w:rPr>
        <w:t>Assistive technology is likely to increase the range of housing options for people with disability. We need to fast-track the evaluation of housing options, including the benefits of emerging assistive technology, and make the information readily available.</w:t>
      </w:r>
      <w:r w:rsidR="00CF0820" w:rsidRPr="0094454E">
        <w:rPr>
          <w:rFonts w:cs="Arial"/>
        </w:rPr>
        <w:t xml:space="preserve"> Providing this information to participants, families and carers is essential to help them make housing decisions.</w:t>
      </w:r>
    </w:p>
    <w:p w:rsidR="00CC6B12" w:rsidRPr="009C42B8" w:rsidRDefault="00CC6B12" w:rsidP="0094454E">
      <w:pPr>
        <w:pStyle w:val="ListParagraph"/>
        <w:numPr>
          <w:ilvl w:val="0"/>
          <w:numId w:val="10"/>
        </w:numPr>
        <w:spacing w:before="240" w:after="240" w:line="240" w:lineRule="auto"/>
        <w:ind w:left="357" w:hanging="357"/>
        <w:rPr>
          <w:rFonts w:ascii="Arial" w:hAnsi="Arial" w:cs="Arial"/>
          <w:b/>
          <w:sz w:val="24"/>
          <w:lang w:val="en"/>
        </w:rPr>
      </w:pPr>
      <w:r w:rsidRPr="009C42B8">
        <w:rPr>
          <w:rFonts w:ascii="Arial" w:hAnsi="Arial" w:cs="Arial"/>
          <w:b/>
          <w:sz w:val="24"/>
          <w:lang w:val="en"/>
        </w:rPr>
        <w:t>When violence, abuse, neglect and exploitation occurs in group homes, what do you think are the causes? What can be done to prevent violence, abuse, neglect and exploitation in group homes?</w:t>
      </w:r>
    </w:p>
    <w:p w:rsidR="00320BEA" w:rsidRDefault="00D539FE" w:rsidP="000F3C0C">
      <w:pPr>
        <w:ind w:left="0" w:firstLine="0"/>
        <w:rPr>
          <w:rFonts w:cs="Arial"/>
          <w:lang w:val="en"/>
        </w:rPr>
      </w:pPr>
      <w:r>
        <w:rPr>
          <w:rFonts w:cs="Arial"/>
          <w:lang w:val="en"/>
        </w:rPr>
        <w:t xml:space="preserve">The report by the </w:t>
      </w:r>
      <w:r w:rsidR="00664646">
        <w:rPr>
          <w:rFonts w:cs="Arial"/>
          <w:lang w:val="en"/>
        </w:rPr>
        <w:t xml:space="preserve">Victorian </w:t>
      </w:r>
      <w:r>
        <w:rPr>
          <w:rFonts w:cs="Arial"/>
          <w:lang w:val="en"/>
        </w:rPr>
        <w:t xml:space="preserve">Office of the Public Advocate previously referenced </w:t>
      </w:r>
      <w:r w:rsidR="00D55976" w:rsidRPr="0094454E">
        <w:rPr>
          <w:rFonts w:cs="Arial"/>
        </w:rPr>
        <w:t>discusses</w:t>
      </w:r>
      <w:r>
        <w:rPr>
          <w:rFonts w:cs="Arial"/>
          <w:lang w:val="en"/>
        </w:rPr>
        <w:t xml:space="preserve"> causes of resident</w:t>
      </w:r>
      <w:r w:rsidR="00672721">
        <w:rPr>
          <w:rFonts w:cs="Arial"/>
          <w:lang w:val="en"/>
        </w:rPr>
        <w:t>-</w:t>
      </w:r>
      <w:r>
        <w:rPr>
          <w:rFonts w:cs="Arial"/>
          <w:lang w:val="en"/>
        </w:rPr>
        <w:t>on</w:t>
      </w:r>
      <w:r w:rsidR="00672721">
        <w:rPr>
          <w:rFonts w:cs="Arial"/>
          <w:lang w:val="en"/>
        </w:rPr>
        <w:t>-</w:t>
      </w:r>
      <w:r>
        <w:rPr>
          <w:rFonts w:cs="Arial"/>
          <w:lang w:val="en"/>
        </w:rPr>
        <w:t>resident violence and makes suggestions about how this should be</w:t>
      </w:r>
      <w:r w:rsidR="00320BEA">
        <w:rPr>
          <w:rFonts w:cs="Arial"/>
          <w:lang w:val="en"/>
        </w:rPr>
        <w:t xml:space="preserve"> reduced.</w:t>
      </w:r>
    </w:p>
    <w:p w:rsidR="00D55976" w:rsidRPr="0094454E" w:rsidRDefault="00320BEA" w:rsidP="000F3C0C">
      <w:pPr>
        <w:ind w:left="0" w:firstLine="0"/>
        <w:rPr>
          <w:rFonts w:cs="Arial"/>
        </w:rPr>
      </w:pPr>
      <w:r w:rsidRPr="0094454E">
        <w:rPr>
          <w:rFonts w:cs="Arial"/>
        </w:rPr>
        <w:t xml:space="preserve">Earlier in this submission, we have noted concerns about the lack of accountability on </w:t>
      </w:r>
      <w:r w:rsidR="003A6825" w:rsidRPr="0094454E">
        <w:rPr>
          <w:rFonts w:cs="Arial"/>
        </w:rPr>
        <w:t>parties</w:t>
      </w:r>
      <w:r w:rsidRPr="0094454E">
        <w:rPr>
          <w:rFonts w:cs="Arial"/>
        </w:rPr>
        <w:t xml:space="preserve"> to consider the compatibility of participants living together in a group home. SIL providers are, however, task</w:t>
      </w:r>
      <w:r w:rsidR="003A6825" w:rsidRPr="0094454E">
        <w:rPr>
          <w:rFonts w:cs="Arial"/>
        </w:rPr>
        <w:t>ed with</w:t>
      </w:r>
      <w:r w:rsidRPr="0094454E">
        <w:rPr>
          <w:rFonts w:cs="Arial"/>
        </w:rPr>
        <w:t xml:space="preserve"> preventing </w:t>
      </w:r>
      <w:r w:rsidR="00B22D5C" w:rsidRPr="0094454E">
        <w:rPr>
          <w:rFonts w:cs="Arial"/>
        </w:rPr>
        <w:t xml:space="preserve">violence </w:t>
      </w:r>
      <w:r w:rsidRPr="0094454E">
        <w:rPr>
          <w:rFonts w:cs="Arial"/>
        </w:rPr>
        <w:t xml:space="preserve">from occurring but may not have the ability to move participants to another location to </w:t>
      </w:r>
      <w:r w:rsidR="00C44891" w:rsidRPr="0094454E">
        <w:rPr>
          <w:rFonts w:cs="Arial"/>
        </w:rPr>
        <w:t xml:space="preserve">prevent </w:t>
      </w:r>
      <w:r w:rsidR="00B22D5C" w:rsidRPr="0094454E">
        <w:rPr>
          <w:rFonts w:cs="Arial"/>
        </w:rPr>
        <w:t>it from</w:t>
      </w:r>
      <w:r w:rsidRPr="0094454E">
        <w:rPr>
          <w:rFonts w:cs="Arial"/>
        </w:rPr>
        <w:t xml:space="preserve"> occurring. </w:t>
      </w:r>
    </w:p>
    <w:p w:rsidR="00320BEA" w:rsidRPr="0094454E" w:rsidRDefault="00320BEA" w:rsidP="000F3C0C">
      <w:pPr>
        <w:ind w:left="0" w:firstLine="0"/>
        <w:rPr>
          <w:rFonts w:cs="Arial"/>
        </w:rPr>
      </w:pPr>
      <w:r w:rsidRPr="0094454E">
        <w:rPr>
          <w:rFonts w:cs="Arial"/>
        </w:rPr>
        <w:t xml:space="preserve">There is an urgent need to review how vacancies are being filled under the NDIS and to assess whether </w:t>
      </w:r>
      <w:r w:rsidR="00D55976" w:rsidRPr="0094454E">
        <w:rPr>
          <w:rFonts w:cs="Arial"/>
        </w:rPr>
        <w:t>what we have</w:t>
      </w:r>
      <w:r w:rsidRPr="0094454E">
        <w:rPr>
          <w:rFonts w:cs="Arial"/>
        </w:rPr>
        <w:t xml:space="preserve"> is fit</w:t>
      </w:r>
      <w:r w:rsidR="00C44891" w:rsidRPr="0094454E">
        <w:rPr>
          <w:rFonts w:cs="Arial"/>
        </w:rPr>
        <w:t>-</w:t>
      </w:r>
      <w:r w:rsidRPr="0094454E">
        <w:rPr>
          <w:rFonts w:cs="Arial"/>
        </w:rPr>
        <w:t>for</w:t>
      </w:r>
      <w:r w:rsidR="00C44891" w:rsidRPr="0094454E">
        <w:rPr>
          <w:rFonts w:cs="Arial"/>
        </w:rPr>
        <w:t>-</w:t>
      </w:r>
      <w:r w:rsidRPr="0094454E">
        <w:rPr>
          <w:rFonts w:cs="Arial"/>
        </w:rPr>
        <w:t xml:space="preserve">purpose, particularly </w:t>
      </w:r>
      <w:r w:rsidR="003A6825" w:rsidRPr="0094454E">
        <w:rPr>
          <w:rFonts w:cs="Arial"/>
        </w:rPr>
        <w:t xml:space="preserve">for </w:t>
      </w:r>
      <w:r w:rsidRPr="0094454E">
        <w:rPr>
          <w:rFonts w:cs="Arial"/>
        </w:rPr>
        <w:t xml:space="preserve">participants </w:t>
      </w:r>
      <w:r w:rsidR="00D55976" w:rsidRPr="0094454E">
        <w:rPr>
          <w:rFonts w:cs="Arial"/>
        </w:rPr>
        <w:t xml:space="preserve">with challenging behaviours </w:t>
      </w:r>
      <w:r w:rsidRPr="0094454E">
        <w:rPr>
          <w:rFonts w:cs="Arial"/>
        </w:rPr>
        <w:t xml:space="preserve">for whom </w:t>
      </w:r>
      <w:r w:rsidR="003A6825" w:rsidRPr="0094454E">
        <w:rPr>
          <w:rFonts w:cs="Arial"/>
        </w:rPr>
        <w:t>this</w:t>
      </w:r>
      <w:r w:rsidRPr="0094454E">
        <w:rPr>
          <w:rFonts w:cs="Arial"/>
        </w:rPr>
        <w:t xml:space="preserve"> market approach </w:t>
      </w:r>
      <w:r w:rsidR="003A6825" w:rsidRPr="0094454E">
        <w:rPr>
          <w:rFonts w:cs="Arial"/>
        </w:rPr>
        <w:t xml:space="preserve">may not deliver </w:t>
      </w:r>
      <w:r w:rsidR="00D55976" w:rsidRPr="0094454E">
        <w:rPr>
          <w:rFonts w:cs="Arial"/>
        </w:rPr>
        <w:t>good</w:t>
      </w:r>
      <w:r w:rsidR="003A6825" w:rsidRPr="0094454E">
        <w:rPr>
          <w:rFonts w:cs="Arial"/>
        </w:rPr>
        <w:t xml:space="preserve"> outcomes.</w:t>
      </w:r>
    </w:p>
    <w:p w:rsidR="009C42B8" w:rsidRPr="0094454E" w:rsidRDefault="00D55976" w:rsidP="000F3C0C">
      <w:pPr>
        <w:ind w:left="0" w:firstLine="0"/>
        <w:rPr>
          <w:rFonts w:cs="Arial"/>
        </w:rPr>
      </w:pPr>
      <w:r w:rsidRPr="0094454E">
        <w:rPr>
          <w:rFonts w:cs="Arial"/>
        </w:rPr>
        <w:t xml:space="preserve">The </w:t>
      </w:r>
      <w:r w:rsidR="009C42B8" w:rsidRPr="0094454E">
        <w:rPr>
          <w:rFonts w:cs="Arial"/>
        </w:rPr>
        <w:t xml:space="preserve">staff </w:t>
      </w:r>
      <w:r w:rsidRPr="0094454E">
        <w:rPr>
          <w:rFonts w:cs="Arial"/>
        </w:rPr>
        <w:t xml:space="preserve">culture within a group home has a significant impact on the quality of supports delivered to those who live there. </w:t>
      </w:r>
      <w:r w:rsidR="009C42B8" w:rsidRPr="0094454E">
        <w:rPr>
          <w:rFonts w:cs="Arial"/>
        </w:rPr>
        <w:t xml:space="preserve">A culture based upon </w:t>
      </w:r>
      <w:r w:rsidR="00C44891" w:rsidRPr="0094454E">
        <w:rPr>
          <w:rFonts w:cs="Arial"/>
        </w:rPr>
        <w:t xml:space="preserve">upholding </w:t>
      </w:r>
      <w:r w:rsidR="009C42B8" w:rsidRPr="0094454E">
        <w:rPr>
          <w:rFonts w:cs="Arial"/>
        </w:rPr>
        <w:t>the human rights of all people is fundamental to reducing violence, abuse, neglect and exploitation.</w:t>
      </w:r>
    </w:p>
    <w:p w:rsidR="00D55976" w:rsidRPr="0094454E" w:rsidRDefault="00D55976" w:rsidP="000F3C0C">
      <w:pPr>
        <w:ind w:left="0" w:firstLine="0"/>
        <w:rPr>
          <w:rFonts w:cs="Arial"/>
        </w:rPr>
      </w:pPr>
      <w:r w:rsidRPr="0094454E">
        <w:rPr>
          <w:rFonts w:cs="Arial"/>
        </w:rPr>
        <w:t>Since 2013, NDS has been building a suite of resources, providing training and encouraging service providers to rethink service provision under its Zero Tolerance</w:t>
      </w:r>
      <w:r w:rsidR="0094454E">
        <w:rPr>
          <w:rFonts w:cs="Arial"/>
        </w:rPr>
        <w:t xml:space="preserve"> </w:t>
      </w:r>
      <w:r w:rsidRPr="0094454E">
        <w:rPr>
          <w:rFonts w:cs="Arial"/>
        </w:rPr>
        <w:t>initiative</w:t>
      </w:r>
      <w:r w:rsidR="0094454E">
        <w:rPr>
          <w:rFonts w:cs="Arial"/>
        </w:rPr>
        <w:t xml:space="preserve"> </w:t>
      </w:r>
      <w:r w:rsidR="0094454E">
        <w:rPr>
          <w:rFonts w:cs="Arial"/>
        </w:rPr>
        <w:t>(</w:t>
      </w:r>
      <w:r w:rsidR="0094454E" w:rsidRPr="009C42B8">
        <w:rPr>
          <w:rFonts w:cs="Arial"/>
        </w:rPr>
        <w:t xml:space="preserve">Zero Tolerance resources can be viewed </w:t>
      </w:r>
      <w:r w:rsidR="0094454E">
        <w:rPr>
          <w:rFonts w:cs="Arial"/>
        </w:rPr>
        <w:t xml:space="preserve">on the </w:t>
      </w:r>
      <w:hyperlink r:id="rId23" w:history="1">
        <w:r w:rsidR="0094454E" w:rsidRPr="0094454E">
          <w:rPr>
            <w:rStyle w:val="Hyperlink"/>
            <w:rFonts w:cs="Arial"/>
          </w:rPr>
          <w:t>NDS Website</w:t>
        </w:r>
      </w:hyperlink>
      <w:r w:rsidR="0094454E">
        <w:rPr>
          <w:rFonts w:cs="Arial"/>
        </w:rPr>
        <w:t>)</w:t>
      </w:r>
      <w:r w:rsidRPr="0094454E">
        <w:rPr>
          <w:rFonts w:cs="Arial"/>
        </w:rPr>
        <w:t>. Zero Tolerance assists disability service providers to understand, implement and improve practices which safeguard the human rights of the people they support. The initiative is human</w:t>
      </w:r>
      <w:r w:rsidR="009C42B8" w:rsidRPr="0094454E">
        <w:rPr>
          <w:rFonts w:cs="Arial"/>
        </w:rPr>
        <w:t xml:space="preserve"> </w:t>
      </w:r>
      <w:r w:rsidRPr="0094454E">
        <w:rPr>
          <w:rFonts w:cs="Arial"/>
        </w:rPr>
        <w:t>rights</w:t>
      </w:r>
      <w:r w:rsidR="009C42B8" w:rsidRPr="0094454E">
        <w:rPr>
          <w:rFonts w:cs="Arial"/>
        </w:rPr>
        <w:t>-</w:t>
      </w:r>
      <w:r w:rsidRPr="0094454E">
        <w:rPr>
          <w:rFonts w:cs="Arial"/>
        </w:rPr>
        <w:t>based, begins with the premise that abuse and neglect are never okay, and encourages staff to continuously think about how they could be better supporting people.</w:t>
      </w:r>
      <w:r w:rsidR="00C44891" w:rsidRPr="0094454E">
        <w:rPr>
          <w:rFonts w:cs="Arial"/>
        </w:rPr>
        <w:t xml:space="preserve"> It addresses how to recognise, prevent and respond to abuse, how to identify risk factors, and assists in embedding this knowledge into practice.</w:t>
      </w:r>
    </w:p>
    <w:p w:rsidR="00D55976" w:rsidRPr="0094454E" w:rsidRDefault="00D55976" w:rsidP="000F3C0C">
      <w:pPr>
        <w:ind w:left="0" w:firstLine="0"/>
        <w:rPr>
          <w:rFonts w:cs="Arial"/>
        </w:rPr>
      </w:pPr>
      <w:r w:rsidRPr="0094454E">
        <w:rPr>
          <w:rFonts w:cs="Arial"/>
        </w:rPr>
        <w:t>The range of resources is tailored to different groups—from frontline workers to Boards—and is available in a range of formats. They are designed to assist organisations to develop positive cultures that align to the new expectations and to the regulatory framework. The ongoing development of the Zero Tolerance initiative is still impeded by a lack of data about the specific nature of instances of abuse, exploitation and neglect in particular service settings and for particular population groups. </w:t>
      </w:r>
    </w:p>
    <w:p w:rsidR="00D55976" w:rsidRPr="0094454E" w:rsidRDefault="00D55976" w:rsidP="000F3C0C">
      <w:pPr>
        <w:ind w:left="0" w:firstLine="0"/>
        <w:rPr>
          <w:rFonts w:cs="Arial"/>
        </w:rPr>
      </w:pPr>
      <w:r w:rsidRPr="0094454E">
        <w:rPr>
          <w:rFonts w:cs="Arial"/>
        </w:rPr>
        <w:t xml:space="preserve">NDS is committed to continuing to </w:t>
      </w:r>
      <w:r w:rsidR="009C42B8" w:rsidRPr="0094454E">
        <w:rPr>
          <w:rFonts w:cs="Arial"/>
        </w:rPr>
        <w:t>build this suite of resources and to drive their uptake by disability service providers.</w:t>
      </w:r>
    </w:p>
    <w:p w:rsidR="00CC6B12" w:rsidRPr="009C42B8" w:rsidRDefault="00107D24" w:rsidP="0094454E">
      <w:pPr>
        <w:pStyle w:val="ListParagraph"/>
        <w:numPr>
          <w:ilvl w:val="0"/>
          <w:numId w:val="10"/>
        </w:numPr>
        <w:spacing w:before="240" w:after="240" w:line="240" w:lineRule="auto"/>
        <w:ind w:left="357" w:hanging="357"/>
        <w:rPr>
          <w:rFonts w:ascii="Arial" w:hAnsi="Arial" w:cs="Arial"/>
          <w:b/>
          <w:sz w:val="24"/>
          <w:lang w:val="en"/>
        </w:rPr>
      </w:pPr>
      <w:r w:rsidRPr="009C42B8">
        <w:rPr>
          <w:rFonts w:ascii="Arial" w:hAnsi="Arial" w:cs="Arial"/>
          <w:b/>
          <w:sz w:val="24"/>
          <w:lang w:val="en"/>
        </w:rPr>
        <w:t>U</w:t>
      </w:r>
      <w:r w:rsidR="00CC6B12" w:rsidRPr="009C42B8">
        <w:rPr>
          <w:rFonts w:ascii="Arial" w:hAnsi="Arial" w:cs="Arial"/>
          <w:b/>
          <w:sz w:val="24"/>
          <w:lang w:val="en"/>
        </w:rPr>
        <w:t xml:space="preserve">se of restrictive practices in group homes </w:t>
      </w:r>
      <w:r w:rsidRPr="009C42B8">
        <w:rPr>
          <w:rFonts w:ascii="Arial" w:hAnsi="Arial" w:cs="Arial"/>
          <w:b/>
          <w:sz w:val="24"/>
          <w:lang w:val="en"/>
        </w:rPr>
        <w:t>and what can be done to reduce or eliminate them</w:t>
      </w:r>
    </w:p>
    <w:p w:rsidR="003B71D1" w:rsidRPr="0094454E" w:rsidRDefault="003B71D1" w:rsidP="000F3C0C">
      <w:pPr>
        <w:ind w:left="0" w:firstLine="0"/>
        <w:rPr>
          <w:rFonts w:cs="Arial"/>
        </w:rPr>
      </w:pPr>
      <w:r w:rsidRPr="0094454E">
        <w:rPr>
          <w:rFonts w:cs="Arial"/>
        </w:rPr>
        <w:t xml:space="preserve">Restrictive practices are </w:t>
      </w:r>
      <w:r w:rsidR="00C44891" w:rsidRPr="0094454E">
        <w:rPr>
          <w:rFonts w:cs="Arial"/>
        </w:rPr>
        <w:t>placed</w:t>
      </w:r>
      <w:r w:rsidRPr="0094454E">
        <w:rPr>
          <w:rFonts w:cs="Arial"/>
        </w:rPr>
        <w:t xml:space="preserve"> on some people living in shared living arrangements</w:t>
      </w:r>
      <w:r w:rsidR="00C44891" w:rsidRPr="0094454E">
        <w:rPr>
          <w:rFonts w:cs="Arial"/>
        </w:rPr>
        <w:t xml:space="preserve"> for their safety and/or the safety of others</w:t>
      </w:r>
      <w:r w:rsidRPr="0094454E">
        <w:rPr>
          <w:rFonts w:cs="Arial"/>
        </w:rPr>
        <w:t xml:space="preserve">. Decreasing the need for their use is influenced by a range of factors such as the use of positive behaviour support, Active Support, housing design and compatibility of coresidents. </w:t>
      </w:r>
    </w:p>
    <w:p w:rsidR="00664646" w:rsidRPr="0094454E" w:rsidRDefault="003B71D1" w:rsidP="000F3C0C">
      <w:pPr>
        <w:ind w:left="0" w:firstLine="0"/>
        <w:rPr>
          <w:rFonts w:cs="Arial"/>
        </w:rPr>
      </w:pPr>
      <w:r w:rsidRPr="0094454E">
        <w:rPr>
          <w:rFonts w:cs="Arial"/>
        </w:rPr>
        <w:t xml:space="preserve">National consistency on the reporting of the use of restrictive practices (arising from the new NDIS Commission) will improve knowledge of their use and ultimately drive improved practice for managing behaviours and a decrease in their use. </w:t>
      </w:r>
      <w:r w:rsidR="0094454E" w:rsidRPr="00C44891">
        <w:rPr>
          <w:rFonts w:cs="Arial"/>
        </w:rPr>
        <w:t xml:space="preserve">This work is underpinned by the </w:t>
      </w:r>
      <w:r w:rsidR="0094454E">
        <w:rPr>
          <w:rFonts w:cs="Arial"/>
        </w:rPr>
        <w:t>‘</w:t>
      </w:r>
      <w:r w:rsidR="0094454E" w:rsidRPr="00C44891">
        <w:rPr>
          <w:rFonts w:cs="Arial"/>
        </w:rPr>
        <w:t>National Framework for Reducing and Eliminating the Use of Restrictive Practices in the Disability Service Sector</w:t>
      </w:r>
      <w:r w:rsidR="0094454E">
        <w:rPr>
          <w:rFonts w:cs="Arial"/>
        </w:rPr>
        <w:t>’</w:t>
      </w:r>
      <w:r w:rsidR="0094454E" w:rsidRPr="00C44891">
        <w:rPr>
          <w:rFonts w:cs="Arial"/>
        </w:rPr>
        <w:t xml:space="preserve"> which can be viewed </w:t>
      </w:r>
      <w:r w:rsidR="0094454E">
        <w:rPr>
          <w:rFonts w:cs="Arial"/>
        </w:rPr>
        <w:t xml:space="preserve">on the </w:t>
      </w:r>
      <w:hyperlink r:id="rId24" w:history="1">
        <w:r w:rsidR="0094454E" w:rsidRPr="0094454E">
          <w:rPr>
            <w:rStyle w:val="Hyperlink"/>
            <w:rFonts w:cs="Arial"/>
          </w:rPr>
          <w:t>DSS website</w:t>
        </w:r>
      </w:hyperlink>
      <w:r w:rsidR="0094454E">
        <w:rPr>
          <w:rFonts w:cs="Arial"/>
        </w:rPr>
        <w:t xml:space="preserve">. </w:t>
      </w:r>
      <w:r w:rsidRPr="0094454E">
        <w:rPr>
          <w:rFonts w:cs="Arial"/>
        </w:rPr>
        <w:t>This should be a positive result of the new regulatory arrangements.</w:t>
      </w:r>
    </w:p>
    <w:p w:rsidR="00A41036" w:rsidRPr="0094454E" w:rsidRDefault="003B71D1" w:rsidP="000F3C0C">
      <w:pPr>
        <w:ind w:left="0" w:firstLine="0"/>
        <w:rPr>
          <w:rFonts w:cs="Arial"/>
        </w:rPr>
      </w:pPr>
      <w:r w:rsidRPr="0094454E">
        <w:rPr>
          <w:rFonts w:cs="Arial"/>
        </w:rPr>
        <w:t>Unfortunately, there is currently a shortage of</w:t>
      </w:r>
      <w:r w:rsidR="00A41036" w:rsidRPr="0094454E">
        <w:rPr>
          <w:rFonts w:cs="Arial"/>
        </w:rPr>
        <w:t xml:space="preserve"> positive behaviour practitioners, delaying the development of behaviour management plans which are designed to help reduce the use of restrictive practices. There is also a lack of coordination between the </w:t>
      </w:r>
      <w:r w:rsidR="00BB4AD2" w:rsidRPr="0094454E">
        <w:rPr>
          <w:rFonts w:cs="Arial"/>
        </w:rPr>
        <w:t xml:space="preserve">reasonable and necessary funding of supports by the </w:t>
      </w:r>
      <w:r w:rsidR="00A41036" w:rsidRPr="0094454E">
        <w:rPr>
          <w:rFonts w:cs="Arial"/>
        </w:rPr>
        <w:t xml:space="preserve">NDIA and the </w:t>
      </w:r>
      <w:r w:rsidR="00BB4AD2" w:rsidRPr="0094454E">
        <w:rPr>
          <w:rFonts w:cs="Arial"/>
        </w:rPr>
        <w:t xml:space="preserve">practice and reporting requirements of the </w:t>
      </w:r>
      <w:r w:rsidR="00A41036" w:rsidRPr="0094454E">
        <w:rPr>
          <w:rFonts w:cs="Arial"/>
        </w:rPr>
        <w:t xml:space="preserve">NDIS Commission. </w:t>
      </w:r>
    </w:p>
    <w:p w:rsidR="003B71D1" w:rsidRPr="0094454E" w:rsidRDefault="00A41036" w:rsidP="000F3C0C">
      <w:pPr>
        <w:ind w:left="0" w:firstLine="0"/>
        <w:rPr>
          <w:rFonts w:cs="Arial"/>
        </w:rPr>
      </w:pPr>
      <w:r w:rsidRPr="0094454E">
        <w:rPr>
          <w:rFonts w:cs="Arial"/>
        </w:rPr>
        <w:t xml:space="preserve">For example, if a participant begins behaving in a manner that results in the use of a restrictive practice, </w:t>
      </w:r>
      <w:r w:rsidR="0023726C" w:rsidRPr="0094454E">
        <w:rPr>
          <w:rFonts w:cs="Arial"/>
        </w:rPr>
        <w:t>this</w:t>
      </w:r>
      <w:r w:rsidRPr="0094454E">
        <w:rPr>
          <w:rFonts w:cs="Arial"/>
        </w:rPr>
        <w:t xml:space="preserve"> must be reported to the NDIS Commission and a behaviour management plan developed. In this example, the participant is not likely to have the appropriate funding in their plan to access the services of a behaviour support practitioner to develop such a plan. A plan review will need to be requested from the NDIA, which may take many weeks to occur. Once the funding is in the plan, there may then be a long wait to have the plan developed (due to the shortage of behaviour support practitioners). </w:t>
      </w:r>
    </w:p>
    <w:p w:rsidR="00A41036" w:rsidRPr="0094454E" w:rsidRDefault="00A41036" w:rsidP="000F3C0C">
      <w:pPr>
        <w:ind w:left="0" w:firstLine="0"/>
        <w:rPr>
          <w:rFonts w:cs="Arial"/>
        </w:rPr>
      </w:pPr>
      <w:r w:rsidRPr="0094454E">
        <w:rPr>
          <w:rFonts w:cs="Arial"/>
        </w:rPr>
        <w:t xml:space="preserve">These long delays are problematic; ways to streamline this </w:t>
      </w:r>
      <w:r w:rsidR="0023726C" w:rsidRPr="0094454E">
        <w:rPr>
          <w:rFonts w:cs="Arial"/>
        </w:rPr>
        <w:t xml:space="preserve">process </w:t>
      </w:r>
      <w:r w:rsidRPr="0094454E">
        <w:rPr>
          <w:rFonts w:cs="Arial"/>
        </w:rPr>
        <w:t>are required.</w:t>
      </w:r>
    </w:p>
    <w:p w:rsidR="00C5293C" w:rsidRPr="0094454E" w:rsidRDefault="005E739D" w:rsidP="000F3C0C">
      <w:pPr>
        <w:ind w:left="0" w:firstLine="0"/>
        <w:rPr>
          <w:rFonts w:cs="Arial"/>
        </w:rPr>
      </w:pPr>
      <w:r w:rsidRPr="0094454E">
        <w:rPr>
          <w:rFonts w:cs="Arial"/>
        </w:rPr>
        <w:t xml:space="preserve">In </w:t>
      </w:r>
      <w:r w:rsidR="00A41036" w:rsidRPr="0094454E">
        <w:rPr>
          <w:rFonts w:cs="Arial"/>
        </w:rPr>
        <w:t>shared</w:t>
      </w:r>
      <w:r w:rsidR="00DA2CA7" w:rsidRPr="0094454E">
        <w:rPr>
          <w:rFonts w:cs="Arial"/>
        </w:rPr>
        <w:t xml:space="preserve"> living settings, restraints</w:t>
      </w:r>
      <w:r w:rsidR="003A6825" w:rsidRPr="0094454E">
        <w:rPr>
          <w:rFonts w:cs="Arial"/>
        </w:rPr>
        <w:t>—</w:t>
      </w:r>
      <w:r w:rsidR="00DA2CA7" w:rsidRPr="0094454E">
        <w:rPr>
          <w:rFonts w:cs="Arial"/>
        </w:rPr>
        <w:t>particularly environmental</w:t>
      </w:r>
      <w:r w:rsidR="003A6825" w:rsidRPr="0094454E">
        <w:rPr>
          <w:rFonts w:cs="Arial"/>
        </w:rPr>
        <w:t>—</w:t>
      </w:r>
      <w:r w:rsidR="00DA2CA7" w:rsidRPr="0094454E">
        <w:rPr>
          <w:rFonts w:cs="Arial"/>
        </w:rPr>
        <w:t>intended for on</w:t>
      </w:r>
      <w:r w:rsidR="000B4166" w:rsidRPr="0094454E">
        <w:rPr>
          <w:rFonts w:cs="Arial"/>
        </w:rPr>
        <w:t>e</w:t>
      </w:r>
      <w:r w:rsidR="00DA2CA7" w:rsidRPr="0094454E">
        <w:rPr>
          <w:rFonts w:cs="Arial"/>
        </w:rPr>
        <w:t xml:space="preserve"> resident can impact other residents. If a fridge is locked to prevent a resident from eating compulsively, or a door is locked to prevent a resident from fleeing and putting themselves in danger, other residents should be given means to bypass these restrictions (keys</w:t>
      </w:r>
      <w:r w:rsidR="00A41036" w:rsidRPr="0094454E">
        <w:rPr>
          <w:rFonts w:cs="Arial"/>
        </w:rPr>
        <w:t xml:space="preserve"> or</w:t>
      </w:r>
      <w:r w:rsidR="00DA2CA7" w:rsidRPr="0094454E">
        <w:rPr>
          <w:rFonts w:cs="Arial"/>
        </w:rPr>
        <w:t xml:space="preserve"> swipe cards</w:t>
      </w:r>
      <w:r w:rsidR="00A41036" w:rsidRPr="0094454E">
        <w:rPr>
          <w:rFonts w:cs="Arial"/>
        </w:rPr>
        <w:t xml:space="preserve">, </w:t>
      </w:r>
      <w:r w:rsidR="00DA2CA7" w:rsidRPr="0094454E">
        <w:rPr>
          <w:rFonts w:cs="Arial"/>
        </w:rPr>
        <w:t xml:space="preserve">for example). </w:t>
      </w:r>
      <w:r w:rsidR="00A41036" w:rsidRPr="0094454E">
        <w:rPr>
          <w:rFonts w:cs="Arial"/>
        </w:rPr>
        <w:t xml:space="preserve">This can be difficult to implement as </w:t>
      </w:r>
      <w:r w:rsidR="000B4166" w:rsidRPr="0094454E">
        <w:rPr>
          <w:rFonts w:cs="Arial"/>
        </w:rPr>
        <w:t xml:space="preserve">other residents </w:t>
      </w:r>
      <w:r w:rsidR="00A41036" w:rsidRPr="0094454E">
        <w:rPr>
          <w:rFonts w:cs="Arial"/>
        </w:rPr>
        <w:t>may not</w:t>
      </w:r>
      <w:r w:rsidR="000B4166" w:rsidRPr="0094454E">
        <w:rPr>
          <w:rFonts w:cs="Arial"/>
        </w:rPr>
        <w:t xml:space="preserve"> have the capacity to use these </w:t>
      </w:r>
      <w:r w:rsidR="00C5293C" w:rsidRPr="0094454E">
        <w:rPr>
          <w:rFonts w:cs="Arial"/>
        </w:rPr>
        <w:t>options</w:t>
      </w:r>
      <w:r w:rsidR="000B4166" w:rsidRPr="0094454E">
        <w:rPr>
          <w:rFonts w:cs="Arial"/>
        </w:rPr>
        <w:t xml:space="preserve">. </w:t>
      </w:r>
    </w:p>
    <w:p w:rsidR="00664646" w:rsidRPr="0094454E" w:rsidRDefault="00DA2CA7" w:rsidP="000F3C0C">
      <w:pPr>
        <w:ind w:left="0" w:firstLine="0"/>
        <w:rPr>
          <w:rFonts w:cs="Arial"/>
        </w:rPr>
      </w:pPr>
      <w:r w:rsidRPr="0094454E">
        <w:rPr>
          <w:rFonts w:cs="Arial"/>
        </w:rPr>
        <w:t xml:space="preserve">There is very little </w:t>
      </w:r>
      <w:r w:rsidR="00C5293C" w:rsidRPr="0094454E">
        <w:rPr>
          <w:rFonts w:cs="Arial"/>
        </w:rPr>
        <w:t xml:space="preserve">knowledge about this issue, </w:t>
      </w:r>
      <w:r w:rsidRPr="0094454E">
        <w:rPr>
          <w:rFonts w:cs="Arial"/>
        </w:rPr>
        <w:t xml:space="preserve">including how </w:t>
      </w:r>
      <w:r w:rsidR="0023726C" w:rsidRPr="0094454E">
        <w:rPr>
          <w:rFonts w:cs="Arial"/>
        </w:rPr>
        <w:t>the impact of environmental restraints on others</w:t>
      </w:r>
      <w:r w:rsidRPr="0094454E">
        <w:rPr>
          <w:rFonts w:cs="Arial"/>
        </w:rPr>
        <w:t xml:space="preserve"> is being reduced over time.</w:t>
      </w:r>
    </w:p>
    <w:p w:rsidR="005E739D" w:rsidRPr="0094454E" w:rsidRDefault="005E739D" w:rsidP="000F3C0C">
      <w:pPr>
        <w:ind w:left="0" w:firstLine="0"/>
        <w:rPr>
          <w:rFonts w:cs="Arial"/>
        </w:rPr>
      </w:pPr>
      <w:r w:rsidRPr="0094454E">
        <w:rPr>
          <w:rFonts w:cs="Arial"/>
        </w:rPr>
        <w:t xml:space="preserve">As noted </w:t>
      </w:r>
      <w:r w:rsidR="00C5293C" w:rsidRPr="0094454E">
        <w:rPr>
          <w:rFonts w:cs="Arial"/>
        </w:rPr>
        <w:t>earlier in the submission</w:t>
      </w:r>
      <w:r w:rsidRPr="0094454E">
        <w:rPr>
          <w:rFonts w:cs="Arial"/>
        </w:rPr>
        <w:t xml:space="preserve">, compatibility of </w:t>
      </w:r>
      <w:r w:rsidR="00C5293C" w:rsidRPr="0094454E">
        <w:rPr>
          <w:rFonts w:cs="Arial"/>
        </w:rPr>
        <w:t>people living together</w:t>
      </w:r>
      <w:r w:rsidRPr="0094454E">
        <w:rPr>
          <w:rFonts w:cs="Arial"/>
        </w:rPr>
        <w:t xml:space="preserve"> may </w:t>
      </w:r>
      <w:r w:rsidR="00C5293C" w:rsidRPr="0094454E">
        <w:rPr>
          <w:rFonts w:cs="Arial"/>
        </w:rPr>
        <w:t xml:space="preserve">not </w:t>
      </w:r>
      <w:r w:rsidR="00BB4AD2" w:rsidRPr="0094454E">
        <w:rPr>
          <w:rFonts w:cs="Arial"/>
        </w:rPr>
        <w:t>have been</w:t>
      </w:r>
      <w:r w:rsidR="00C5293C" w:rsidRPr="0094454E">
        <w:rPr>
          <w:rFonts w:cs="Arial"/>
        </w:rPr>
        <w:t xml:space="preserve"> prioritised in housing decisions. </w:t>
      </w:r>
      <w:r w:rsidR="00CC461D" w:rsidRPr="0094454E">
        <w:rPr>
          <w:rFonts w:cs="Arial"/>
        </w:rPr>
        <w:t xml:space="preserve">In </w:t>
      </w:r>
      <w:r w:rsidR="00C5293C" w:rsidRPr="0094454E">
        <w:rPr>
          <w:rFonts w:cs="Arial"/>
        </w:rPr>
        <w:t>situations</w:t>
      </w:r>
      <w:r w:rsidR="00CC461D" w:rsidRPr="0094454E">
        <w:rPr>
          <w:rFonts w:cs="Arial"/>
        </w:rPr>
        <w:t xml:space="preserve"> where </w:t>
      </w:r>
      <w:r w:rsidR="00C5293C" w:rsidRPr="0094454E">
        <w:rPr>
          <w:rFonts w:cs="Arial"/>
        </w:rPr>
        <w:t>more than one person</w:t>
      </w:r>
      <w:r w:rsidR="00CC461D" w:rsidRPr="0094454E">
        <w:rPr>
          <w:rFonts w:cs="Arial"/>
        </w:rPr>
        <w:t xml:space="preserve"> with behaviours of concern are </w:t>
      </w:r>
      <w:r w:rsidR="00C5293C" w:rsidRPr="0094454E">
        <w:rPr>
          <w:rFonts w:cs="Arial"/>
        </w:rPr>
        <w:t>living together</w:t>
      </w:r>
      <w:r w:rsidR="00CC461D" w:rsidRPr="0094454E">
        <w:rPr>
          <w:rFonts w:cs="Arial"/>
        </w:rPr>
        <w:t xml:space="preserve">, restrictive practices may be introduced </w:t>
      </w:r>
      <w:r w:rsidR="00D0487D" w:rsidRPr="0094454E">
        <w:rPr>
          <w:rFonts w:cs="Arial"/>
        </w:rPr>
        <w:t xml:space="preserve">as a response </w:t>
      </w:r>
      <w:r w:rsidR="00CC461D" w:rsidRPr="0094454E">
        <w:rPr>
          <w:rFonts w:cs="Arial"/>
        </w:rPr>
        <w:t>(</w:t>
      </w:r>
      <w:r w:rsidR="00C5293C" w:rsidRPr="0094454E">
        <w:rPr>
          <w:rFonts w:cs="Arial"/>
        </w:rPr>
        <w:t xml:space="preserve">for example, </w:t>
      </w:r>
      <w:r w:rsidR="00CC461D" w:rsidRPr="0094454E">
        <w:rPr>
          <w:rFonts w:cs="Arial"/>
        </w:rPr>
        <w:t>a locked door separating two residents on either side of a house</w:t>
      </w:r>
      <w:r w:rsidR="00C5293C" w:rsidRPr="0094454E">
        <w:rPr>
          <w:rFonts w:cs="Arial"/>
        </w:rPr>
        <w:t xml:space="preserve">). Better </w:t>
      </w:r>
      <w:r w:rsidR="00CC461D" w:rsidRPr="0094454E">
        <w:rPr>
          <w:rFonts w:cs="Arial"/>
        </w:rPr>
        <w:t xml:space="preserve">tenancy management would prevent this from </w:t>
      </w:r>
      <w:r w:rsidR="00D0487D" w:rsidRPr="0094454E">
        <w:rPr>
          <w:rFonts w:cs="Arial"/>
        </w:rPr>
        <w:t>becoming an issue in the first instance.</w:t>
      </w:r>
    </w:p>
    <w:p w:rsidR="00CC461D" w:rsidRPr="0094454E" w:rsidRDefault="00CC461D" w:rsidP="000F3C0C">
      <w:pPr>
        <w:ind w:left="0" w:firstLine="0"/>
        <w:rPr>
          <w:rFonts w:cs="Arial"/>
        </w:rPr>
      </w:pPr>
      <w:r w:rsidRPr="0094454E">
        <w:rPr>
          <w:rFonts w:cs="Arial"/>
        </w:rPr>
        <w:t>Behaviour support plans are the preferred method of reducing and eliminating the need for restrictive practices by managing their antecedents. However, a behaviour support plan is only as good as its implementation</w:t>
      </w:r>
      <w:r w:rsidR="002315C7" w:rsidRPr="0094454E">
        <w:rPr>
          <w:rFonts w:cs="Arial"/>
        </w:rPr>
        <w:t xml:space="preserve">. </w:t>
      </w:r>
      <w:r w:rsidR="00D0487D" w:rsidRPr="0094454E">
        <w:rPr>
          <w:rFonts w:cs="Arial"/>
        </w:rPr>
        <w:t>A</w:t>
      </w:r>
      <w:r w:rsidR="002315C7" w:rsidRPr="0094454E">
        <w:rPr>
          <w:rFonts w:cs="Arial"/>
        </w:rPr>
        <w:t xml:space="preserve"> casualised</w:t>
      </w:r>
      <w:r w:rsidRPr="0094454E">
        <w:rPr>
          <w:rFonts w:cs="Arial"/>
        </w:rPr>
        <w:t xml:space="preserve"> </w:t>
      </w:r>
      <w:r w:rsidR="002315C7" w:rsidRPr="0094454E">
        <w:rPr>
          <w:rFonts w:cs="Arial"/>
        </w:rPr>
        <w:t xml:space="preserve">workforce with limited training </w:t>
      </w:r>
      <w:r w:rsidR="00D0487D" w:rsidRPr="0094454E">
        <w:rPr>
          <w:rFonts w:cs="Arial"/>
        </w:rPr>
        <w:t>is unlikely to be able to</w:t>
      </w:r>
      <w:r w:rsidR="002315C7" w:rsidRPr="0094454E">
        <w:rPr>
          <w:rFonts w:cs="Arial"/>
        </w:rPr>
        <w:t xml:space="preserve"> implement a behaviour support plan with the knowledge, strategy and consistency required to do so effectively. Record keeping and data collection may support a case for reducing restrictive practices for a </w:t>
      </w:r>
      <w:r w:rsidR="00C5293C" w:rsidRPr="0094454E">
        <w:rPr>
          <w:rFonts w:cs="Arial"/>
        </w:rPr>
        <w:t>person with disability—</w:t>
      </w:r>
      <w:r w:rsidR="002315C7" w:rsidRPr="0094454E">
        <w:rPr>
          <w:rFonts w:cs="Arial"/>
        </w:rPr>
        <w:t xml:space="preserve">however </w:t>
      </w:r>
      <w:r w:rsidR="00C5293C" w:rsidRPr="0094454E">
        <w:rPr>
          <w:rFonts w:cs="Arial"/>
        </w:rPr>
        <w:t>this is less likely to be done by casual or temporary staff.</w:t>
      </w:r>
    </w:p>
    <w:p w:rsidR="006D631F" w:rsidRPr="0094454E" w:rsidRDefault="002315C7" w:rsidP="000F3C0C">
      <w:pPr>
        <w:ind w:left="0" w:firstLine="0"/>
        <w:rPr>
          <w:rFonts w:cs="Arial"/>
        </w:rPr>
      </w:pPr>
      <w:r w:rsidRPr="0094454E">
        <w:rPr>
          <w:rFonts w:cs="Arial"/>
        </w:rPr>
        <w:t xml:space="preserve">Practice leadership is identified </w:t>
      </w:r>
      <w:r w:rsidR="00FD228C" w:rsidRPr="0094454E">
        <w:rPr>
          <w:rFonts w:cs="Arial"/>
        </w:rPr>
        <w:t>earlier</w:t>
      </w:r>
      <w:r w:rsidRPr="0094454E">
        <w:rPr>
          <w:rFonts w:cs="Arial"/>
        </w:rPr>
        <w:t xml:space="preserve"> as a key characteristic of good group homes. </w:t>
      </w:r>
      <w:r w:rsidR="006D631F" w:rsidRPr="0094454E">
        <w:rPr>
          <w:rFonts w:cs="Arial"/>
        </w:rPr>
        <w:t>Decisions regarding how management roles intersect with practice leadership are left to service providers</w:t>
      </w:r>
      <w:r w:rsidR="00FD228C" w:rsidRPr="0094454E">
        <w:rPr>
          <w:rFonts w:cs="Arial"/>
        </w:rPr>
        <w:t>—</w:t>
      </w:r>
      <w:r w:rsidR="006D631F" w:rsidRPr="0094454E">
        <w:rPr>
          <w:rFonts w:cs="Arial"/>
        </w:rPr>
        <w:t xml:space="preserve">in many cases the same staff fulfil both roles. Given the significant time </w:t>
      </w:r>
      <w:r w:rsidR="00FD228C" w:rsidRPr="0094454E">
        <w:rPr>
          <w:rFonts w:cs="Arial"/>
        </w:rPr>
        <w:t xml:space="preserve">management roles have to give to </w:t>
      </w:r>
      <w:r w:rsidR="006D631F" w:rsidRPr="0094454E">
        <w:rPr>
          <w:rFonts w:cs="Arial"/>
        </w:rPr>
        <w:t>recruitment and rostering</w:t>
      </w:r>
      <w:r w:rsidR="00FD228C" w:rsidRPr="0094454E">
        <w:rPr>
          <w:rFonts w:cs="Arial"/>
        </w:rPr>
        <w:t>, important time for su</w:t>
      </w:r>
      <w:r w:rsidR="006D631F" w:rsidRPr="0094454E">
        <w:rPr>
          <w:rFonts w:cs="Arial"/>
        </w:rPr>
        <w:t>pervision and practice leadership</w:t>
      </w:r>
      <w:r w:rsidR="00FD228C" w:rsidRPr="0094454E">
        <w:rPr>
          <w:rFonts w:cs="Arial"/>
        </w:rPr>
        <w:t xml:space="preserve"> can be squeezed</w:t>
      </w:r>
      <w:r w:rsidR="006D631F" w:rsidRPr="0094454E">
        <w:rPr>
          <w:rFonts w:cs="Arial"/>
        </w:rPr>
        <w:t>. Violence, abuse, neglect and exploitation are more likely to occur where there is insufficient supervision.</w:t>
      </w:r>
    </w:p>
    <w:p w:rsidR="007E4157" w:rsidRPr="0094454E" w:rsidRDefault="008A6D88" w:rsidP="000F3C0C">
      <w:pPr>
        <w:ind w:left="0" w:firstLine="0"/>
        <w:rPr>
          <w:rFonts w:cs="Arial"/>
        </w:rPr>
      </w:pPr>
      <w:r w:rsidRPr="0094454E">
        <w:rPr>
          <w:rFonts w:cs="Arial"/>
        </w:rPr>
        <w:t xml:space="preserve">Any violence against, or abuse, neglect or exploitation of a person with disability is unacceptable. This includes when it occurs due to the behaviour of another person with disability. The Victorian Office of the Public Advocate report </w:t>
      </w:r>
      <w:r w:rsidR="00FD228C" w:rsidRPr="0094454E">
        <w:rPr>
          <w:rFonts w:cs="Arial"/>
        </w:rPr>
        <w:t>cited earlier</w:t>
      </w:r>
      <w:r w:rsidR="0023726C" w:rsidRPr="0094454E">
        <w:rPr>
          <w:rFonts w:cs="Arial"/>
        </w:rPr>
        <w:t xml:space="preserve"> in this submission</w:t>
      </w:r>
      <w:r w:rsidRPr="0094454E">
        <w:rPr>
          <w:rFonts w:cs="Arial"/>
        </w:rPr>
        <w:t xml:space="preserve"> includes some shocking statistics</w:t>
      </w:r>
      <w:r w:rsidR="00D0487D" w:rsidRPr="0094454E">
        <w:rPr>
          <w:rFonts w:cs="Arial"/>
        </w:rPr>
        <w:t xml:space="preserve"> regarding resident-on-resident violence</w:t>
      </w:r>
      <w:r w:rsidRPr="0094454E">
        <w:rPr>
          <w:rFonts w:cs="Arial"/>
        </w:rPr>
        <w:t xml:space="preserve">. In NDS’s experience the threshold for action to be taken when a resident poses a risk to another resident is too high. </w:t>
      </w:r>
      <w:r w:rsidR="007E4157" w:rsidRPr="0094454E">
        <w:rPr>
          <w:rFonts w:cs="Arial"/>
        </w:rPr>
        <w:t>The NDIA appears to have given inadequate attention to how emergency responses should be implemented and funded (for example, a resident may need to be moved immediately from a property and accommodated elsewhere with additional support staff).</w:t>
      </w:r>
    </w:p>
    <w:p w:rsidR="008A6D88" w:rsidRPr="0094454E" w:rsidRDefault="007E4157" w:rsidP="000F3C0C">
      <w:pPr>
        <w:ind w:left="0" w:firstLine="0"/>
        <w:rPr>
          <w:rFonts w:cs="Arial"/>
        </w:rPr>
      </w:pPr>
      <w:r w:rsidRPr="0094454E">
        <w:rPr>
          <w:rFonts w:cs="Arial"/>
        </w:rPr>
        <w:t xml:space="preserve">As part of the Zero Tolerance initiative, NDS has developed important training films on Recognising Restrictive Practices and </w:t>
      </w:r>
      <w:r w:rsidR="002E68A2" w:rsidRPr="0094454E">
        <w:rPr>
          <w:rFonts w:cs="Arial"/>
        </w:rPr>
        <w:t>R</w:t>
      </w:r>
      <w:r w:rsidRPr="0094454E">
        <w:rPr>
          <w:rFonts w:cs="Arial"/>
        </w:rPr>
        <w:t>esponding to Abuse.</w:t>
      </w:r>
      <w:r w:rsidR="0094454E">
        <w:rPr>
          <w:rFonts w:cs="Arial"/>
        </w:rPr>
        <w:t xml:space="preserve"> [</w:t>
      </w:r>
      <w:r w:rsidR="0094454E" w:rsidRPr="002E68A2">
        <w:rPr>
          <w:rFonts w:cs="Arial"/>
        </w:rPr>
        <w:t>Ibid.</w:t>
      </w:r>
      <w:r w:rsidR="0094454E">
        <w:rPr>
          <w:rFonts w:cs="Arial"/>
        </w:rPr>
        <w:t>]</w:t>
      </w:r>
    </w:p>
    <w:p w:rsidR="00CC6B12" w:rsidRPr="0023726C" w:rsidRDefault="00107D24" w:rsidP="0094454E">
      <w:pPr>
        <w:pStyle w:val="ListParagraph"/>
        <w:numPr>
          <w:ilvl w:val="0"/>
          <w:numId w:val="10"/>
        </w:numPr>
        <w:spacing w:before="240" w:after="240" w:line="240" w:lineRule="auto"/>
        <w:ind w:left="357" w:hanging="357"/>
        <w:rPr>
          <w:rFonts w:ascii="Arial" w:hAnsi="Arial" w:cs="Arial"/>
          <w:b/>
          <w:sz w:val="24"/>
          <w:lang w:val="en"/>
        </w:rPr>
      </w:pPr>
      <w:r w:rsidRPr="0023726C">
        <w:rPr>
          <w:rFonts w:ascii="Arial" w:hAnsi="Arial" w:cs="Arial"/>
          <w:b/>
          <w:sz w:val="24"/>
          <w:lang w:val="en"/>
        </w:rPr>
        <w:t xml:space="preserve">Improving or changing </w:t>
      </w:r>
      <w:r w:rsidR="00CC6B12" w:rsidRPr="0023726C">
        <w:rPr>
          <w:rFonts w:ascii="Arial" w:hAnsi="Arial" w:cs="Arial"/>
          <w:b/>
          <w:sz w:val="24"/>
          <w:lang w:val="en"/>
        </w:rPr>
        <w:t>staffing in group homes to better support the choices and potential of people with disability?</w:t>
      </w:r>
    </w:p>
    <w:p w:rsidR="008527E5" w:rsidRPr="0094454E" w:rsidRDefault="008527E5" w:rsidP="000F3C0C">
      <w:pPr>
        <w:ind w:left="0" w:firstLine="0"/>
        <w:rPr>
          <w:rFonts w:cs="Arial"/>
        </w:rPr>
      </w:pPr>
      <w:r w:rsidRPr="0094454E">
        <w:rPr>
          <w:rFonts w:cs="Arial"/>
        </w:rPr>
        <w:t xml:space="preserve">Group homes need a </w:t>
      </w:r>
      <w:r w:rsidR="00107D24" w:rsidRPr="0094454E">
        <w:rPr>
          <w:rFonts w:cs="Arial"/>
        </w:rPr>
        <w:t>sufficient number of well-trained and well-supported staff</w:t>
      </w:r>
      <w:r w:rsidRPr="0094454E">
        <w:rPr>
          <w:rFonts w:cs="Arial"/>
        </w:rPr>
        <w:t xml:space="preserve"> and the right culture. A greater number of staff operating in a poor culture will not deliver better outcomes for the people they support.</w:t>
      </w:r>
    </w:p>
    <w:p w:rsidR="00107D24" w:rsidRPr="0094454E" w:rsidRDefault="008527E5" w:rsidP="000F3C0C">
      <w:pPr>
        <w:ind w:left="0" w:firstLine="0"/>
        <w:rPr>
          <w:rFonts w:cs="Arial"/>
        </w:rPr>
      </w:pPr>
      <w:r w:rsidRPr="0094454E">
        <w:rPr>
          <w:rFonts w:cs="Arial"/>
        </w:rPr>
        <w:t>NDS has been collecting workforce information from providers over recent years. Disturbingly, and largely a result of a rapidly growing market with difficult</w:t>
      </w:r>
      <w:r w:rsidR="00B60B95" w:rsidRPr="0094454E">
        <w:rPr>
          <w:rFonts w:cs="Arial"/>
        </w:rPr>
        <w:t>-</w:t>
      </w:r>
      <w:r w:rsidRPr="0094454E">
        <w:rPr>
          <w:rFonts w:cs="Arial"/>
        </w:rPr>
        <w:t>to</w:t>
      </w:r>
      <w:r w:rsidR="00B60B95" w:rsidRPr="0094454E">
        <w:rPr>
          <w:rFonts w:cs="Arial"/>
        </w:rPr>
        <w:t>-p</w:t>
      </w:r>
      <w:r w:rsidRPr="0094454E">
        <w:rPr>
          <w:rFonts w:cs="Arial"/>
        </w:rPr>
        <w:t xml:space="preserve">redict demand, the use of casual staff has increased to </w:t>
      </w:r>
      <w:r w:rsidR="0023726C" w:rsidRPr="0094454E">
        <w:rPr>
          <w:rFonts w:cs="Arial"/>
        </w:rPr>
        <w:t xml:space="preserve">being in </w:t>
      </w:r>
      <w:r w:rsidRPr="0094454E">
        <w:rPr>
          <w:rFonts w:cs="Arial"/>
        </w:rPr>
        <w:t>the order of 40 per cent. This is a worry</w:t>
      </w:r>
      <w:r w:rsidR="00E27991" w:rsidRPr="0094454E">
        <w:rPr>
          <w:rFonts w:cs="Arial"/>
        </w:rPr>
        <w:t>ing</w:t>
      </w:r>
      <w:r w:rsidRPr="0094454E">
        <w:rPr>
          <w:rFonts w:cs="Arial"/>
        </w:rPr>
        <w:t xml:space="preserve"> development, particular</w:t>
      </w:r>
      <w:r w:rsidR="00BB4AD2" w:rsidRPr="0094454E">
        <w:rPr>
          <w:rFonts w:cs="Arial"/>
        </w:rPr>
        <w:t xml:space="preserve">ly when </w:t>
      </w:r>
      <w:r w:rsidR="0023726C" w:rsidRPr="0094454E">
        <w:rPr>
          <w:rFonts w:cs="Arial"/>
        </w:rPr>
        <w:t>close</w:t>
      </w:r>
      <w:r w:rsidR="00BB4AD2" w:rsidRPr="0094454E">
        <w:rPr>
          <w:rFonts w:cs="Arial"/>
        </w:rPr>
        <w:t xml:space="preserve"> supervision is not available</w:t>
      </w:r>
      <w:r w:rsidR="0023726C" w:rsidRPr="0094454E">
        <w:rPr>
          <w:rFonts w:cs="Arial"/>
        </w:rPr>
        <w:t xml:space="preserve"> to these casual workers</w:t>
      </w:r>
      <w:r w:rsidR="00BB4AD2" w:rsidRPr="0094454E">
        <w:rPr>
          <w:rFonts w:cs="Arial"/>
        </w:rPr>
        <w:t>.</w:t>
      </w:r>
    </w:p>
    <w:p w:rsidR="00107D24" w:rsidRPr="0094454E" w:rsidRDefault="00107D24" w:rsidP="000F3C0C">
      <w:pPr>
        <w:ind w:left="0" w:firstLine="0"/>
        <w:rPr>
          <w:rFonts w:cs="Arial"/>
        </w:rPr>
      </w:pPr>
      <w:r w:rsidRPr="0094454E">
        <w:rPr>
          <w:rFonts w:cs="Arial"/>
        </w:rPr>
        <w:t>Since the NDIS began (with pilot sites) in 2013, NDS has been negotiating for higher prices for many supports. The NDIA’s Cost Model for Disability Support Workers</w:t>
      </w:r>
      <w:r w:rsidR="0094454E">
        <w:rPr>
          <w:rFonts w:cs="Arial"/>
        </w:rPr>
        <w:t xml:space="preserve"> (see link to </w:t>
      </w:r>
      <w:r w:rsidR="0094454E" w:rsidRPr="00785C5B">
        <w:rPr>
          <w:rFonts w:cs="Arial"/>
        </w:rPr>
        <w:t xml:space="preserve">Cost Model </w:t>
      </w:r>
      <w:r w:rsidR="0094454E">
        <w:rPr>
          <w:rFonts w:cs="Arial"/>
        </w:rPr>
        <w:t xml:space="preserve">in the NDIS </w:t>
      </w:r>
      <w:hyperlink r:id="rId25" w:history="1">
        <w:r w:rsidR="0094454E" w:rsidRPr="0094454E">
          <w:rPr>
            <w:rStyle w:val="Hyperlink"/>
            <w:rFonts w:cs="Arial"/>
          </w:rPr>
          <w:t>Individual Living Options</w:t>
        </w:r>
      </w:hyperlink>
      <w:r w:rsidR="0094454E">
        <w:rPr>
          <w:rFonts w:cs="Arial"/>
        </w:rPr>
        <w:t>)</w:t>
      </w:r>
      <w:r w:rsidR="008527E5" w:rsidRPr="0094454E">
        <w:rPr>
          <w:rFonts w:cs="Arial"/>
        </w:rPr>
        <w:t xml:space="preserve"> underpins many prices for NDIS supports. Some of the assumptions within that Model understate the costs associated with providing </w:t>
      </w:r>
      <w:r w:rsidR="00D907D0" w:rsidRPr="0094454E">
        <w:rPr>
          <w:rFonts w:cs="Arial"/>
        </w:rPr>
        <w:t xml:space="preserve">quality </w:t>
      </w:r>
      <w:r w:rsidR="008527E5" w:rsidRPr="0094454E">
        <w:rPr>
          <w:rFonts w:cs="Arial"/>
        </w:rPr>
        <w:t>support.</w:t>
      </w:r>
    </w:p>
    <w:p w:rsidR="008527E5" w:rsidRPr="0094454E" w:rsidRDefault="008527E5" w:rsidP="000F3C0C">
      <w:pPr>
        <w:ind w:left="0" w:firstLine="0"/>
        <w:rPr>
          <w:rFonts w:cs="Arial"/>
        </w:rPr>
      </w:pPr>
      <w:r w:rsidRPr="0094454E">
        <w:rPr>
          <w:rFonts w:cs="Arial"/>
        </w:rPr>
        <w:t xml:space="preserve">In our recent submission to the NDIA, </w:t>
      </w:r>
      <w:r w:rsidR="0023726C" w:rsidRPr="0094454E">
        <w:rPr>
          <w:rFonts w:cs="Arial"/>
        </w:rPr>
        <w:t>NDS</w:t>
      </w:r>
      <w:r w:rsidRPr="0094454E">
        <w:rPr>
          <w:rFonts w:cs="Arial"/>
        </w:rPr>
        <w:t xml:space="preserve"> stated:</w:t>
      </w:r>
    </w:p>
    <w:p w:rsidR="00F2696F" w:rsidRDefault="008527E5" w:rsidP="0094454E">
      <w:pPr>
        <w:ind w:left="284" w:firstLine="0"/>
        <w:rPr>
          <w:rFonts w:cs="Arial"/>
        </w:rPr>
      </w:pPr>
      <w:r w:rsidRPr="008527E5">
        <w:rPr>
          <w:rFonts w:cs="Arial"/>
        </w:rPr>
        <w:t>Some of the assumptions within the Cost Model for Disability Support Workers will be tested against the forthcoming survey of providers charging prices that include the TTP</w:t>
      </w:r>
      <w:r w:rsidR="0023726C">
        <w:rPr>
          <w:rFonts w:cs="Arial"/>
        </w:rPr>
        <w:t xml:space="preserve"> [Temporary Transformation Payment]</w:t>
      </w:r>
      <w:r w:rsidRPr="008527E5">
        <w:rPr>
          <w:rFonts w:cs="Arial"/>
        </w:rPr>
        <w:t>.</w:t>
      </w:r>
      <w:r w:rsidR="00846E91">
        <w:rPr>
          <w:rFonts w:cs="Arial"/>
        </w:rPr>
        <w:t xml:space="preserve"> </w:t>
      </w:r>
      <w:r w:rsidRPr="008527E5">
        <w:rPr>
          <w:rFonts w:cs="Arial"/>
        </w:rPr>
        <w:t>To supplement this information, NDS conducted a short survey on some of the assumptions, receiving usable responses from 70 of its members. The results demonstrate that one of the most problematic assumptions in the model is that for overheads. While the model makes an allowance of 10.5%, respondents report a mean of 16.7%, a median of 16%, and a maximum of 30%.</w:t>
      </w:r>
      <w:r w:rsidR="00846E91">
        <w:rPr>
          <w:rFonts w:cs="Arial"/>
        </w:rPr>
        <w:t xml:space="preserve"> </w:t>
      </w:r>
    </w:p>
    <w:p w:rsidR="008527E5" w:rsidRPr="008527E5" w:rsidRDefault="008527E5" w:rsidP="0094454E">
      <w:pPr>
        <w:ind w:left="284" w:firstLine="0"/>
        <w:rPr>
          <w:rFonts w:cs="Arial"/>
        </w:rPr>
      </w:pPr>
      <w:r w:rsidRPr="008527E5">
        <w:rPr>
          <w:rFonts w:cs="Arial"/>
        </w:rPr>
        <w:t>The Agency’s allowance of 10.5% needs to be substantially increased.</w:t>
      </w:r>
    </w:p>
    <w:p w:rsidR="008527E5" w:rsidRPr="008527E5" w:rsidRDefault="008527E5" w:rsidP="0094454E">
      <w:pPr>
        <w:ind w:left="284" w:firstLine="0"/>
        <w:rPr>
          <w:rFonts w:cs="Arial"/>
        </w:rPr>
      </w:pPr>
      <w:r w:rsidRPr="008527E5">
        <w:rPr>
          <w:rFonts w:cs="Arial"/>
        </w:rPr>
        <w:t>The ratio of permanent to casual workers also needs significant adjustment. While the model allows for a casual usage of 20%, the industry figures are substantially higher. This survey gives a median of 38% with a median of 33.3% and a range of up to 100%. This is consistent with NDS’s regular Workforce Wizard survey (the last survey conducted in June 2019 showed 40% of workers were casual employees).</w:t>
      </w:r>
    </w:p>
    <w:p w:rsidR="008527E5" w:rsidRPr="008527E5" w:rsidRDefault="008527E5" w:rsidP="0094454E">
      <w:pPr>
        <w:ind w:left="284" w:firstLine="0"/>
        <w:rPr>
          <w:rFonts w:cs="Arial"/>
        </w:rPr>
      </w:pPr>
      <w:r w:rsidRPr="008527E5">
        <w:rPr>
          <w:rFonts w:cs="Arial"/>
        </w:rPr>
        <w:t>The importance of addressing the casual workforce assumption has been magnified by the recent decision by the Fair Work Commission that will mean casual employees will be paid any relevant penalty rates as well as a casual loading of 25%, taking effect from July 2020</w:t>
      </w:r>
      <w:r w:rsidR="00EE50FA">
        <w:rPr>
          <w:rFonts w:cs="Arial"/>
        </w:rPr>
        <w:t xml:space="preserve"> (see </w:t>
      </w:r>
      <w:hyperlink r:id="rId26" w:history="1">
        <w:r w:rsidR="00EE50FA" w:rsidRPr="00EE50FA">
          <w:rPr>
            <w:rStyle w:val="Hyperlink"/>
            <w:rFonts w:cs="Arial"/>
          </w:rPr>
          <w:t>Fair Work Com</w:t>
        </w:r>
        <w:r w:rsidR="00EE50FA" w:rsidRPr="00EE50FA">
          <w:rPr>
            <w:rStyle w:val="Hyperlink"/>
            <w:rFonts w:cs="Arial"/>
          </w:rPr>
          <w:t>m</w:t>
        </w:r>
        <w:r w:rsidR="00EE50FA" w:rsidRPr="00EE50FA">
          <w:rPr>
            <w:rStyle w:val="Hyperlink"/>
            <w:rFonts w:cs="Arial"/>
          </w:rPr>
          <w:t>ission Determination</w:t>
        </w:r>
      </w:hyperlink>
      <w:r w:rsidR="00EE50FA">
        <w:rPr>
          <w:rFonts w:cs="Arial"/>
        </w:rPr>
        <w:t xml:space="preserve">). </w:t>
      </w:r>
    </w:p>
    <w:p w:rsidR="008527E5" w:rsidRPr="008527E5" w:rsidRDefault="008527E5" w:rsidP="0094454E">
      <w:pPr>
        <w:ind w:left="284" w:firstLine="0"/>
        <w:rPr>
          <w:rFonts w:cs="Arial"/>
        </w:rPr>
      </w:pPr>
      <w:r w:rsidRPr="008527E5">
        <w:rPr>
          <w:rFonts w:cs="Arial"/>
        </w:rPr>
        <w:t xml:space="preserve">Our survey shows the average wage is higher than the wage level used in the Cost Model. The assumption of a SCHADS Level 2.3 ($29.05) is lower than the survey mean of $30.10 and median of $29.50. Utilisation rates of 78.1% (mean) and 90% (median) compare unfavourably to the 92% used by the NDIA. </w:t>
      </w:r>
    </w:p>
    <w:p w:rsidR="008527E5" w:rsidRPr="008527E5" w:rsidRDefault="008527E5" w:rsidP="0094454E">
      <w:pPr>
        <w:ind w:left="284" w:firstLine="0"/>
        <w:rPr>
          <w:rFonts w:cs="Arial"/>
        </w:rPr>
      </w:pPr>
      <w:r w:rsidRPr="008527E5">
        <w:rPr>
          <w:rFonts w:cs="Arial"/>
        </w:rPr>
        <w:t>The profit margin allowance of 2.0% is inadequate; a minimum of 3.5% is sought in the current economic environment (adjusted annually).</w:t>
      </w:r>
    </w:p>
    <w:p w:rsidR="008527E5" w:rsidRPr="0094454E" w:rsidRDefault="008527E5" w:rsidP="0094454E">
      <w:pPr>
        <w:ind w:left="284" w:firstLine="0"/>
        <w:rPr>
          <w:rFonts w:cs="Arial"/>
        </w:rPr>
      </w:pPr>
      <w:r w:rsidRPr="0094454E">
        <w:rPr>
          <w:rFonts w:cs="Arial"/>
        </w:rPr>
        <w:t>Payments of allowances varies substantially across organisations. Our survey indicates the most common allowance paid is for first aid. ‘On call’, meals or no allowances were reported with similar frequency but were less common than paying a first aid allowance.</w:t>
      </w:r>
    </w:p>
    <w:p w:rsidR="00F2696F" w:rsidRPr="0094454E" w:rsidRDefault="008527E5" w:rsidP="0094454E">
      <w:pPr>
        <w:ind w:left="284" w:firstLine="0"/>
        <w:rPr>
          <w:rFonts w:cs="Arial"/>
        </w:rPr>
      </w:pPr>
      <w:r w:rsidRPr="0094454E">
        <w:rPr>
          <w:rFonts w:cs="Arial"/>
        </w:rPr>
        <w:t>A growing number of states and territories are introducing portable long service leave. As an example, from January 2020, NDIS-funded activities were included as ‘community services work’ in Victoria. This applies to the ‘ordinary pay’ of both permanent and casual workers. It is currently levied at 1.65%, with a potential to increase it to a maximum of 3.0%. The ACT has a similar scheme, and Queensland is in the process of introducing one.</w:t>
      </w:r>
      <w:r w:rsidR="00846E91" w:rsidRPr="0094454E">
        <w:rPr>
          <w:rFonts w:cs="Arial"/>
        </w:rPr>
        <w:t xml:space="preserve"> </w:t>
      </w:r>
    </w:p>
    <w:p w:rsidR="008527E5" w:rsidRPr="0094454E" w:rsidRDefault="008527E5" w:rsidP="0094454E">
      <w:pPr>
        <w:ind w:left="284" w:firstLine="0"/>
        <w:rPr>
          <w:rFonts w:cs="Arial"/>
        </w:rPr>
      </w:pPr>
      <w:r w:rsidRPr="0094454E">
        <w:rPr>
          <w:rFonts w:cs="Arial"/>
        </w:rPr>
        <w:t>The cost of such a levy must be included in the Cost Model.</w:t>
      </w:r>
    </w:p>
    <w:p w:rsidR="00107D24" w:rsidRPr="0094454E" w:rsidRDefault="00FD5B09" w:rsidP="0094454E">
      <w:pPr>
        <w:ind w:left="0" w:firstLine="0"/>
        <w:rPr>
          <w:rFonts w:cs="Arial"/>
        </w:rPr>
      </w:pPr>
      <w:r w:rsidRPr="0094454E">
        <w:rPr>
          <w:rFonts w:cs="Arial"/>
        </w:rPr>
        <w:t xml:space="preserve">In addition, the Model allows for a supervision ratio of one to eleven Full Time Equivalent workers. Given the average hours worked by disability support workers is about 25 hours per week, a supervisor is often responsible for more than 20 staff. This is too high to </w:t>
      </w:r>
      <w:r w:rsidR="002E68A2" w:rsidRPr="0094454E">
        <w:rPr>
          <w:rFonts w:cs="Arial"/>
        </w:rPr>
        <w:t xml:space="preserve">adequately </w:t>
      </w:r>
      <w:r w:rsidRPr="0094454E">
        <w:rPr>
          <w:rFonts w:cs="Arial"/>
        </w:rPr>
        <w:t xml:space="preserve">allow for the practice leadership </w:t>
      </w:r>
      <w:r w:rsidR="002E68A2" w:rsidRPr="0094454E">
        <w:rPr>
          <w:rFonts w:cs="Arial"/>
        </w:rPr>
        <w:t xml:space="preserve">needed to drive the provision of </w:t>
      </w:r>
      <w:r w:rsidRPr="0094454E">
        <w:rPr>
          <w:rFonts w:cs="Arial"/>
        </w:rPr>
        <w:t>high quality support.</w:t>
      </w:r>
    </w:p>
    <w:p w:rsidR="00107D24" w:rsidRDefault="0023726C" w:rsidP="000F3C0C">
      <w:pPr>
        <w:ind w:left="0" w:firstLine="0"/>
        <w:rPr>
          <w:rFonts w:cs="Arial"/>
          <w:lang w:val="en"/>
        </w:rPr>
      </w:pPr>
      <w:r w:rsidRPr="0094454E">
        <w:rPr>
          <w:rFonts w:cs="Arial"/>
        </w:rPr>
        <w:t>Some</w:t>
      </w:r>
      <w:r w:rsidR="00406895" w:rsidRPr="0094454E">
        <w:rPr>
          <w:rFonts w:cs="Arial"/>
        </w:rPr>
        <w:t xml:space="preserve"> NDIS prices do not adequately cover the costs of the training and </w:t>
      </w:r>
      <w:r w:rsidR="0089655B" w:rsidRPr="0094454E">
        <w:rPr>
          <w:rFonts w:cs="Arial"/>
        </w:rPr>
        <w:t>supervision</w:t>
      </w:r>
      <w:r w:rsidR="00406895" w:rsidRPr="0094454E">
        <w:rPr>
          <w:rFonts w:cs="Arial"/>
        </w:rPr>
        <w:t xml:space="preserve"> of workers. This is exa</w:t>
      </w:r>
      <w:r w:rsidR="00CF0820" w:rsidRPr="0094454E">
        <w:rPr>
          <w:rFonts w:cs="Arial"/>
        </w:rPr>
        <w:t>cerbated by high turnover rates. NDS’s regular survey of the workforce suggests the turnover rate for</w:t>
      </w:r>
      <w:r w:rsidRPr="0094454E">
        <w:rPr>
          <w:rFonts w:cs="Arial"/>
        </w:rPr>
        <w:t xml:space="preserve"> </w:t>
      </w:r>
      <w:r w:rsidR="00EF491C" w:rsidRPr="0094454E">
        <w:rPr>
          <w:rFonts w:cs="Arial"/>
        </w:rPr>
        <w:t xml:space="preserve">permanent workers </w:t>
      </w:r>
      <w:r w:rsidR="00CF0820" w:rsidRPr="0094454E">
        <w:rPr>
          <w:rFonts w:cs="Arial"/>
        </w:rPr>
        <w:t>is</w:t>
      </w:r>
      <w:r w:rsidR="00EF491C" w:rsidRPr="0094454E">
        <w:rPr>
          <w:rFonts w:cs="Arial"/>
        </w:rPr>
        <w:t xml:space="preserve"> </w:t>
      </w:r>
      <w:r w:rsidRPr="0094454E">
        <w:rPr>
          <w:rFonts w:cs="Arial"/>
        </w:rPr>
        <w:t xml:space="preserve">about </w:t>
      </w:r>
      <w:r w:rsidR="001D58AF" w:rsidRPr="0094454E">
        <w:rPr>
          <w:rFonts w:cs="Arial"/>
        </w:rPr>
        <w:t xml:space="preserve">4.6 per cent </w:t>
      </w:r>
      <w:r w:rsidRPr="0094454E">
        <w:rPr>
          <w:rFonts w:cs="Arial"/>
        </w:rPr>
        <w:t xml:space="preserve">per quarter </w:t>
      </w:r>
      <w:r w:rsidR="001D58AF" w:rsidRPr="0094454E">
        <w:rPr>
          <w:rFonts w:cs="Arial"/>
        </w:rPr>
        <w:t>(relatively stable over 11 quarters)</w:t>
      </w:r>
      <w:r w:rsidR="00EF491C" w:rsidRPr="0094454E">
        <w:rPr>
          <w:rFonts w:cs="Arial"/>
        </w:rPr>
        <w:t xml:space="preserve">; </w:t>
      </w:r>
      <w:r w:rsidR="001D58AF" w:rsidRPr="0094454E">
        <w:rPr>
          <w:rFonts w:cs="Arial"/>
        </w:rPr>
        <w:t xml:space="preserve">and </w:t>
      </w:r>
      <w:r w:rsidR="00EF491C" w:rsidRPr="0094454E">
        <w:rPr>
          <w:rFonts w:cs="Arial"/>
        </w:rPr>
        <w:t>8.5</w:t>
      </w:r>
      <w:r w:rsidR="001D58AF" w:rsidRPr="0094454E">
        <w:rPr>
          <w:rFonts w:cs="Arial"/>
        </w:rPr>
        <w:t xml:space="preserve"> per cent </w:t>
      </w:r>
      <w:r w:rsidRPr="0094454E">
        <w:rPr>
          <w:rFonts w:cs="Arial"/>
        </w:rPr>
        <w:t xml:space="preserve">per quarter </w:t>
      </w:r>
      <w:r w:rsidR="00CF0820" w:rsidRPr="0094454E">
        <w:rPr>
          <w:rFonts w:cs="Arial"/>
        </w:rPr>
        <w:t xml:space="preserve">for casual staff </w:t>
      </w:r>
      <w:r w:rsidR="001D58AF" w:rsidRPr="0094454E">
        <w:rPr>
          <w:rFonts w:cs="Arial"/>
        </w:rPr>
        <w:t>(</w:t>
      </w:r>
      <w:r w:rsidR="00CF0820" w:rsidRPr="0094454E">
        <w:rPr>
          <w:rFonts w:cs="Arial"/>
        </w:rPr>
        <w:t>its rate has been more volatile than that of permanent staff)</w:t>
      </w:r>
      <w:r w:rsidR="00406895" w:rsidRPr="0094454E">
        <w:rPr>
          <w:rFonts w:cs="Arial"/>
        </w:rPr>
        <w:t>.</w:t>
      </w:r>
      <w:r w:rsidR="0089655B" w:rsidRPr="0094454E">
        <w:rPr>
          <w:rFonts w:cs="Arial"/>
        </w:rPr>
        <w:t xml:space="preserve"> </w:t>
      </w:r>
      <w:r w:rsidR="00EE50FA">
        <w:rPr>
          <w:rFonts w:cs="Arial"/>
        </w:rPr>
        <w:t>[</w:t>
      </w:r>
      <w:r w:rsidR="00EE50FA" w:rsidRPr="00785C5B">
        <w:rPr>
          <w:rFonts w:cs="Arial"/>
        </w:rPr>
        <w:t xml:space="preserve">NDS (2018), </w:t>
      </w:r>
      <w:hyperlink r:id="rId27" w:history="1">
        <w:r w:rsidR="00EE50FA" w:rsidRPr="00EE50FA">
          <w:rPr>
            <w:rStyle w:val="Hyperlink"/>
            <w:rFonts w:cs="Arial"/>
          </w:rPr>
          <w:t>Australian Disability Workforce Report</w:t>
        </w:r>
      </w:hyperlink>
      <w:r w:rsidR="00EE50FA">
        <w:rPr>
          <w:rFonts w:cs="Arial"/>
        </w:rPr>
        <w:t>: Third edition, p.9</w:t>
      </w:r>
      <w:r w:rsidR="00EE50FA">
        <w:rPr>
          <w:rFonts w:cs="Arial"/>
        </w:rPr>
        <w:t xml:space="preserve">]. </w:t>
      </w:r>
      <w:r w:rsidR="0089655B" w:rsidRPr="0094454E">
        <w:rPr>
          <w:rFonts w:cs="Arial"/>
        </w:rPr>
        <w:t>Ongoing training and supervision is essential for all workers in group homes but is particularly critical when the people living in the shared arrangement have complex needs. High quality support being delivered at all times is essential to assisting a person with significant disability to have a good life.</w:t>
      </w:r>
    </w:p>
    <w:p w:rsidR="0023726C" w:rsidRDefault="0023726C" w:rsidP="00EE50FA">
      <w:pPr>
        <w:ind w:left="0" w:firstLine="0"/>
        <w:contextualSpacing/>
        <w:rPr>
          <w:rFonts w:eastAsia="MS Mincho" w:cs="Arial"/>
          <w:b/>
          <w:bCs/>
          <w:sz w:val="28"/>
          <w:lang w:eastAsia="ja-JP"/>
        </w:rPr>
      </w:pPr>
      <w:bookmarkStart w:id="3" w:name="_knmtb1elyars" w:colFirst="0" w:colLast="0"/>
      <w:bookmarkEnd w:id="3"/>
      <w:r>
        <w:rPr>
          <w:rFonts w:eastAsia="MS Mincho" w:cs="Arial"/>
          <w:b/>
          <w:bCs/>
          <w:sz w:val="28"/>
          <w:lang w:eastAsia="ja-JP"/>
        </w:rPr>
        <w:br w:type="page"/>
      </w:r>
    </w:p>
    <w:p w:rsidR="000900E7" w:rsidRPr="00EE50FA" w:rsidRDefault="00BC0572" w:rsidP="00EE50FA">
      <w:pPr>
        <w:pStyle w:val="Heading1"/>
        <w:ind w:left="0" w:right="-34" w:firstLine="0"/>
        <w:jc w:val="left"/>
        <w:rPr>
          <w:rFonts w:eastAsia="MS Mincho"/>
          <w:lang w:eastAsia="ja-JP"/>
        </w:rPr>
      </w:pPr>
      <w:r w:rsidRPr="00EE50FA">
        <w:rPr>
          <w:rFonts w:eastAsia="MS Mincho"/>
          <w:lang w:eastAsia="ja-JP"/>
        </w:rPr>
        <w:t>Appendix</w:t>
      </w:r>
      <w:r w:rsidR="00EE50FA">
        <w:rPr>
          <w:rFonts w:eastAsia="MS Mincho"/>
          <w:lang w:eastAsia="ja-JP"/>
        </w:rPr>
        <w:t xml:space="preserve">: </w:t>
      </w:r>
      <w:r w:rsidR="000900E7" w:rsidRPr="00EE50FA">
        <w:rPr>
          <w:rFonts w:eastAsia="MS Mincho"/>
          <w:lang w:eastAsia="ja-JP"/>
        </w:rPr>
        <w:t xml:space="preserve">NDS Submission to the Royal Commission – Quality &amp; Safeguarding </w:t>
      </w:r>
    </w:p>
    <w:p w:rsidR="000900E7" w:rsidRPr="00EE50FA" w:rsidRDefault="000900E7" w:rsidP="00EE50FA">
      <w:pPr>
        <w:pStyle w:val="Heading2"/>
        <w:ind w:left="0" w:firstLine="0"/>
      </w:pPr>
      <w:r w:rsidRPr="00EE50FA">
        <w:t>Introduction</w:t>
      </w:r>
    </w:p>
    <w:p w:rsidR="000900E7" w:rsidRDefault="000900E7" w:rsidP="000F3C0C">
      <w:pPr>
        <w:ind w:left="0" w:firstLine="0"/>
        <w:rPr>
          <w:rFonts w:cs="Arial"/>
        </w:rPr>
      </w:pPr>
      <w:r w:rsidRPr="000900E7">
        <w:rPr>
          <w:rFonts w:cs="Arial"/>
        </w:rPr>
        <w:t xml:space="preserve">The publication of the NDIS Quality and Safeguarding Framework in 2016 and its subsequent implementation in the form of the NDIS Practice Standards and </w:t>
      </w:r>
      <w:r w:rsidRPr="00EE50FA">
        <w:rPr>
          <w:rFonts w:cs="Arial"/>
        </w:rPr>
        <w:t xml:space="preserve">NDIS Commission Rules </w:t>
      </w:r>
      <w:r w:rsidRPr="000900E7">
        <w:rPr>
          <w:rFonts w:cs="Arial"/>
        </w:rPr>
        <w:t xml:space="preserve">has brought national consistency to a patchwork of regulation across the jurisdictions. </w:t>
      </w:r>
    </w:p>
    <w:p w:rsidR="000900E7" w:rsidRDefault="000900E7" w:rsidP="000F3C0C">
      <w:pPr>
        <w:ind w:left="0" w:firstLine="0"/>
        <w:rPr>
          <w:rFonts w:cs="Arial"/>
        </w:rPr>
      </w:pPr>
      <w:r w:rsidRPr="000900E7">
        <w:rPr>
          <w:rFonts w:cs="Arial"/>
        </w:rPr>
        <w:t>Reaching this point has followed the same broad pattern over the last two decades in every state and territory. A regulation of the sector by legislation in the first instance, accompanied by the initial measures to safeguard service users by screening workers employed in the sector (often requiring only a declaration of suitability by the applicant); an extensive revision of this legislation in the decade before the launch of the NDIS with a trend towards increasing scrutiny of provider service quality standards – often mandated by state-based standards later aligned with the National Standards for Disability Services (NSDS); the formalisation of procedures for governments to receive reports of critical incidents and to investigate these, as well as complaints from service users; and an increasing awareness of the human rights implications of the unregulated use of restrictive practices.</w:t>
      </w:r>
    </w:p>
    <w:p w:rsidR="000900E7" w:rsidRPr="000900E7" w:rsidRDefault="000900E7" w:rsidP="000F3C0C">
      <w:pPr>
        <w:ind w:left="0" w:firstLine="0"/>
        <w:rPr>
          <w:rFonts w:cs="Arial"/>
        </w:rPr>
      </w:pPr>
      <w:r w:rsidRPr="000900E7">
        <w:rPr>
          <w:rFonts w:cs="Arial"/>
        </w:rPr>
        <w:t>What follows is a brief survey of the principal arrangements in each jurisdiction prior to launch of the NDIS.</w:t>
      </w:r>
    </w:p>
    <w:p w:rsidR="000900E7" w:rsidRPr="00EE50FA" w:rsidRDefault="00C92C29" w:rsidP="00EE50FA">
      <w:pPr>
        <w:pStyle w:val="Heading2"/>
        <w:ind w:left="0" w:firstLine="0"/>
      </w:pPr>
      <w:r w:rsidRPr="00EE50FA">
        <w:t>Australian Capital Territory</w:t>
      </w:r>
    </w:p>
    <w:p w:rsidR="000900E7" w:rsidRDefault="000900E7" w:rsidP="000F3C0C">
      <w:pPr>
        <w:ind w:left="0" w:firstLine="0"/>
        <w:rPr>
          <w:rFonts w:cs="Arial"/>
        </w:rPr>
      </w:pPr>
      <w:r w:rsidRPr="000900E7">
        <w:rPr>
          <w:rFonts w:cs="Arial"/>
        </w:rPr>
        <w:t xml:space="preserve">Safeguards and quality assurance frameworks to protect people with disability receiving services in the Australian Capital Territory sit under the ACT </w:t>
      </w:r>
      <w:r w:rsidRPr="000900E7">
        <w:rPr>
          <w:rFonts w:cs="Arial"/>
          <w:i/>
        </w:rPr>
        <w:t>Disability Services Act 1991</w:t>
      </w:r>
      <w:r w:rsidRPr="000900E7">
        <w:rPr>
          <w:rFonts w:cs="Arial"/>
        </w:rPr>
        <w:t xml:space="preserve"> and related instruments. Prior to July 2019, oversight of disability service providers under the Act was the responsibility of the ACT Human Services Registrar (HSR). </w:t>
      </w:r>
    </w:p>
    <w:p w:rsidR="000900E7" w:rsidRDefault="000900E7" w:rsidP="000F3C0C">
      <w:pPr>
        <w:ind w:left="0" w:firstLine="0"/>
        <w:rPr>
          <w:rFonts w:cs="Arial"/>
          <w:i/>
        </w:rPr>
      </w:pPr>
      <w:r w:rsidRPr="000900E7">
        <w:rPr>
          <w:rFonts w:cs="Arial"/>
        </w:rPr>
        <w:t xml:space="preserve">In the ACT relevant safeguards prior to the launch of the NDIS Commission included: requiring people working or volunteering with vulnerable people to register with the Office of Regulatory Services under the </w:t>
      </w:r>
      <w:r w:rsidRPr="000900E7">
        <w:rPr>
          <w:rFonts w:cs="Arial"/>
          <w:i/>
        </w:rPr>
        <w:t>Working with Vulnerable People (Background Checking) Act 2011</w:t>
      </w:r>
      <w:r w:rsidRPr="000900E7">
        <w:rPr>
          <w:rFonts w:cs="Arial"/>
        </w:rPr>
        <w:t xml:space="preserve">; the requirement for Specialist Disability Service providers to provide support within a Standards framework that included the National Disability Service Standards, Home Care Standards and National Standards for Mental Health Services; and the reporting of critical incidents. Restrictive practices were effectively unregulated until the appointment of a Senior Practitioner and the commencement of the </w:t>
      </w:r>
      <w:r w:rsidRPr="000900E7">
        <w:rPr>
          <w:rFonts w:cs="Arial"/>
          <w:i/>
        </w:rPr>
        <w:t>Senior Practitioner Act 2018.</w:t>
      </w:r>
    </w:p>
    <w:p w:rsidR="000900E7" w:rsidRPr="000900E7" w:rsidRDefault="000900E7" w:rsidP="000F3C0C">
      <w:pPr>
        <w:ind w:left="0" w:firstLine="0"/>
        <w:rPr>
          <w:rFonts w:cs="Arial"/>
        </w:rPr>
      </w:pPr>
      <w:r w:rsidRPr="000900E7">
        <w:rPr>
          <w:rFonts w:cs="Arial"/>
        </w:rPr>
        <w:t xml:space="preserve">The Human Services Registrar maintained a team of regulatory assessors responsible for the assessment of providers directly against the relevant national standards. Targeted compliance reviews were also undertaken in response to complaints or critical incidents. </w:t>
      </w:r>
    </w:p>
    <w:p w:rsidR="000900E7" w:rsidRPr="00EE50FA" w:rsidRDefault="00C92C29" w:rsidP="00EE50FA">
      <w:pPr>
        <w:pStyle w:val="Heading2"/>
        <w:ind w:left="0" w:firstLine="0"/>
      </w:pPr>
      <w:r w:rsidRPr="00EE50FA">
        <w:t>New South Wales</w:t>
      </w:r>
    </w:p>
    <w:p w:rsidR="000900E7" w:rsidRPr="000900E7" w:rsidRDefault="000900E7" w:rsidP="000F3C0C">
      <w:pPr>
        <w:ind w:left="0" w:firstLine="0"/>
        <w:rPr>
          <w:rFonts w:cs="Arial"/>
        </w:rPr>
      </w:pPr>
      <w:r w:rsidRPr="000900E7">
        <w:rPr>
          <w:rFonts w:cs="Arial"/>
        </w:rPr>
        <w:t xml:space="preserve">In NSW prior to the 1 July 2018, disability service providers needed to comply with standards generated by the </w:t>
      </w:r>
      <w:r w:rsidRPr="000900E7">
        <w:rPr>
          <w:rFonts w:cs="Arial"/>
          <w:i/>
        </w:rPr>
        <w:t>NSW Disability Inclusion Act 2014</w:t>
      </w:r>
      <w:r w:rsidRPr="000900E7">
        <w:rPr>
          <w:rFonts w:cs="Arial"/>
        </w:rPr>
        <w:t xml:space="preserve"> and </w:t>
      </w:r>
      <w:r w:rsidRPr="000900E7">
        <w:rPr>
          <w:rFonts w:cs="Arial"/>
          <w:i/>
        </w:rPr>
        <w:t xml:space="preserve">Regulation 2014 </w:t>
      </w:r>
      <w:r w:rsidRPr="000900E7">
        <w:rPr>
          <w:rFonts w:cs="Arial"/>
        </w:rPr>
        <w:t xml:space="preserve">and the NSW Disability Services Standards. The </w:t>
      </w:r>
      <w:r w:rsidRPr="000900E7">
        <w:rPr>
          <w:rFonts w:cs="Arial"/>
          <w:i/>
        </w:rPr>
        <w:t>Disability Inclusion Act</w:t>
      </w:r>
      <w:r w:rsidRPr="000900E7">
        <w:rPr>
          <w:rFonts w:cs="Arial"/>
        </w:rPr>
        <w:t xml:space="preserve"> replaced the </w:t>
      </w:r>
      <w:r w:rsidRPr="000900E7">
        <w:rPr>
          <w:rFonts w:cs="Arial"/>
          <w:i/>
        </w:rPr>
        <w:t xml:space="preserve">Disability Services Act 1993 </w:t>
      </w:r>
      <w:r w:rsidRPr="000900E7">
        <w:rPr>
          <w:rFonts w:cs="Arial"/>
        </w:rPr>
        <w:t xml:space="preserve">under which quality assurance had primarily been obtained by the activities of a dedicated team within the Department of Ageing Disability and Home Care (ADHC) which undertook regular quality reviews of funded partners. </w:t>
      </w:r>
    </w:p>
    <w:p w:rsidR="000900E7" w:rsidRDefault="000900E7" w:rsidP="000F3C0C">
      <w:pPr>
        <w:ind w:left="0" w:firstLine="0"/>
        <w:rPr>
          <w:rFonts w:cs="Arial"/>
        </w:rPr>
      </w:pPr>
      <w:r w:rsidRPr="000900E7">
        <w:rPr>
          <w:rFonts w:cs="Arial"/>
        </w:rPr>
        <w:t xml:space="preserve">Among reforms which preceded the NDIS were the introduction of the NSW Disability Service Standards, the roll out of the ADHC Quality Framework and a requirement from 2012 that funded providers undertake regular third-party verification (TPV) of their compliance with the Standards. </w:t>
      </w:r>
    </w:p>
    <w:p w:rsidR="000900E7" w:rsidRDefault="000900E7" w:rsidP="000F3C0C">
      <w:pPr>
        <w:ind w:left="0" w:firstLine="0"/>
        <w:rPr>
          <w:rFonts w:cs="Arial"/>
        </w:rPr>
      </w:pPr>
      <w:r w:rsidRPr="000900E7">
        <w:rPr>
          <w:rFonts w:cs="Arial"/>
        </w:rPr>
        <w:t xml:space="preserve">A limited reporting of critical incidents in ADHC-funded supported accommodation services also began in December 2014 under Part 3C of the </w:t>
      </w:r>
      <w:r w:rsidRPr="000900E7">
        <w:rPr>
          <w:rFonts w:cs="Arial"/>
          <w:i/>
        </w:rPr>
        <w:t>Ombudsman Act 1974</w:t>
      </w:r>
      <w:r w:rsidRPr="000900E7">
        <w:rPr>
          <w:rFonts w:cs="Arial"/>
        </w:rPr>
        <w:t xml:space="preserve">. Providers were required to have an internal complaints handling process in order to comply with both the NSW Disability Service Standards and the </w:t>
      </w:r>
      <w:r w:rsidRPr="000900E7">
        <w:rPr>
          <w:rFonts w:cs="Arial"/>
          <w:i/>
        </w:rPr>
        <w:t>Community Services (Complaints, Reviews and Monitoring) Act 1993 (CS CRAMA)</w:t>
      </w:r>
      <w:r w:rsidRPr="000900E7">
        <w:rPr>
          <w:rFonts w:cs="Arial"/>
        </w:rPr>
        <w:t xml:space="preserve">. Beyond that, the Ombudsman’s Office also had a broad range of functions under the </w:t>
      </w:r>
      <w:r w:rsidRPr="000900E7">
        <w:rPr>
          <w:rFonts w:cs="Arial"/>
          <w:i/>
        </w:rPr>
        <w:t>CS CRAMA Act</w:t>
      </w:r>
      <w:r w:rsidRPr="000900E7">
        <w:rPr>
          <w:rFonts w:cs="Arial"/>
        </w:rPr>
        <w:t xml:space="preserve"> in relation to disability services that included hosting the Community Visitors Scheme, which maintained a monitoring role of client safety in Supported Accommodation outlets.</w:t>
      </w:r>
    </w:p>
    <w:p w:rsidR="000900E7" w:rsidRPr="000900E7" w:rsidRDefault="000900E7" w:rsidP="000F3C0C">
      <w:pPr>
        <w:ind w:left="0" w:firstLine="0"/>
        <w:rPr>
          <w:rFonts w:cs="Arial"/>
        </w:rPr>
      </w:pPr>
      <w:r w:rsidRPr="000900E7">
        <w:rPr>
          <w:rFonts w:cs="Arial"/>
        </w:rPr>
        <w:t>The use of restrictive practices was regulated by the ADHC’s Behaviour Support Policy and authorised by a number of regularly convened Restrictive Practices Authorisation Panels. These have continued in a modified form into the arrangements in place since July 2018. An Aging and Disability Commissioner has been in place in NSW since July 2019, with the power of own-motion investigations.</w:t>
      </w:r>
    </w:p>
    <w:p w:rsidR="000900E7" w:rsidRPr="00EE50FA" w:rsidRDefault="00C92C29" w:rsidP="00EE50FA">
      <w:pPr>
        <w:pStyle w:val="Heading2"/>
        <w:ind w:left="0" w:firstLine="0"/>
      </w:pPr>
      <w:r w:rsidRPr="00EE50FA">
        <w:t>Northern Territory</w:t>
      </w:r>
    </w:p>
    <w:p w:rsidR="000900E7" w:rsidRDefault="000900E7" w:rsidP="000F3C0C">
      <w:pPr>
        <w:ind w:left="0" w:firstLine="0"/>
        <w:rPr>
          <w:rFonts w:cs="Arial"/>
        </w:rPr>
      </w:pPr>
      <w:r w:rsidRPr="000900E7">
        <w:rPr>
          <w:rFonts w:cs="Arial"/>
        </w:rPr>
        <w:t xml:space="preserve">The NT Government developed Disability Service Standards (DSS) to ensure the services provided to consumers were consistent with the principles and objectives of the </w:t>
      </w:r>
      <w:r w:rsidRPr="000900E7">
        <w:rPr>
          <w:rFonts w:cs="Arial"/>
          <w:i/>
        </w:rPr>
        <w:t>Northern Territory Disability Services Act 1993</w:t>
      </w:r>
      <w:r w:rsidRPr="000900E7">
        <w:rPr>
          <w:rFonts w:cs="Arial"/>
        </w:rPr>
        <w:t xml:space="preserve">. Service providers were required under their contractual and funding arrangements to meet the DSS and service delivery was reviewed by the NT Department of Health (DoH). </w:t>
      </w:r>
    </w:p>
    <w:p w:rsidR="000900E7" w:rsidRDefault="000900E7" w:rsidP="000F3C0C">
      <w:pPr>
        <w:ind w:left="0" w:firstLine="0"/>
        <w:rPr>
          <w:rFonts w:cs="Arial"/>
        </w:rPr>
      </w:pPr>
      <w:r w:rsidRPr="000900E7">
        <w:rPr>
          <w:rFonts w:cs="Arial"/>
        </w:rPr>
        <w:t xml:space="preserve">In the period after the launch of the NDIS but in advance of the NDIS Commission, the NT Government strengthened the NT Quality and Safeguarding Framework with a revised assessment process that required provider self-assessment against the Framework, independent on-site assessment by a third party auditor with registration determined on the basis of the auditor’s report. </w:t>
      </w:r>
    </w:p>
    <w:p w:rsidR="000900E7" w:rsidRDefault="000900E7" w:rsidP="000F3C0C">
      <w:pPr>
        <w:ind w:left="0" w:firstLine="0"/>
        <w:rPr>
          <w:rFonts w:cs="Arial"/>
        </w:rPr>
      </w:pPr>
      <w:r w:rsidRPr="000900E7">
        <w:rPr>
          <w:rFonts w:cs="Arial"/>
        </w:rPr>
        <w:t xml:space="preserve">In relation to complaints, providers were required to maintain complaint handling processes compliant with the Territory’s quality framework. People receiving services also had a capacity to take complaints to the NT Health &amp; Community Services Complaints Commission. </w:t>
      </w:r>
    </w:p>
    <w:p w:rsidR="000900E7" w:rsidRDefault="000900E7" w:rsidP="000F3C0C">
      <w:pPr>
        <w:ind w:left="0" w:firstLine="0"/>
        <w:rPr>
          <w:rFonts w:cs="Arial"/>
        </w:rPr>
      </w:pPr>
      <w:r w:rsidRPr="000900E7">
        <w:rPr>
          <w:rFonts w:cs="Arial"/>
        </w:rPr>
        <w:t>In relation to behaviour supports, providers were required to access the Positive Behaviour Support Team in the DoH which had responsibility for advising on the requirements of people with complex behaviour support needs. Legislation has recently been passed creating the office of the Senior Practitioner and authorising that officer to approve the use of restrictive practices. The unauthorised use of such practices would previously have required lodgement of a critical incident report with the Office of Disability.</w:t>
      </w:r>
    </w:p>
    <w:p w:rsidR="000900E7" w:rsidRPr="00EE50FA" w:rsidRDefault="00C92C29" w:rsidP="00EE50FA">
      <w:pPr>
        <w:pStyle w:val="Heading2"/>
        <w:ind w:left="0" w:firstLine="0"/>
      </w:pPr>
      <w:r w:rsidRPr="00EE50FA">
        <w:t>Queensland</w:t>
      </w:r>
    </w:p>
    <w:p w:rsidR="000900E7" w:rsidRDefault="000900E7" w:rsidP="000F3C0C">
      <w:pPr>
        <w:ind w:left="0" w:firstLine="0"/>
        <w:rPr>
          <w:rFonts w:cs="Arial"/>
        </w:rPr>
      </w:pPr>
      <w:r w:rsidRPr="000900E7">
        <w:rPr>
          <w:rFonts w:cs="Arial"/>
        </w:rPr>
        <w:t>The Human Services Quality Framework (HSQF) is the Queensland Government’s quality assurance framework for assessing and promoting improvement in the quality of all human services, including disability services. The Framework incorporates a set of quality standards, known as the Human Services Quality Standards and most specialist disability service providers have been required to demonstrate compliance with the Standards through certification under the HSQF. This recognises that an organisation has met the requirements of the Standards through a process of independent third-party audit. Certification occurs over a three-year cycle and incorporates a certification/recertification audit and a mid-term maintenance audit conducted within 18 months of the certification decision.</w:t>
      </w:r>
    </w:p>
    <w:p w:rsidR="000900E7" w:rsidRDefault="000900E7" w:rsidP="000F3C0C">
      <w:pPr>
        <w:ind w:left="0" w:firstLine="0"/>
        <w:rPr>
          <w:rFonts w:cs="Arial"/>
        </w:rPr>
      </w:pPr>
      <w:r w:rsidRPr="000900E7">
        <w:rPr>
          <w:rFonts w:cs="Arial"/>
        </w:rPr>
        <w:t xml:space="preserve">Matters on which the auditors and regulators focused include: the authorisation of restrictive practices by the relevant decision-making body in accordance with the </w:t>
      </w:r>
      <w:r w:rsidRPr="000900E7">
        <w:rPr>
          <w:rFonts w:cs="Arial"/>
          <w:i/>
        </w:rPr>
        <w:t>Disability Services Act 2006</w:t>
      </w:r>
      <w:r w:rsidRPr="000900E7">
        <w:rPr>
          <w:rFonts w:cs="Arial"/>
        </w:rPr>
        <w:t xml:space="preserve"> or the timely reporting of unauthorised uses of such practices; the existence of an effective complaints process with evidence of providers advising and supporting service users to access external, third-party complaints handling bodies; the effective operation of policies and procedures to report critical incidents, as defined in the standard funding agreement; and the operation of a continuous quality improvement system that demonstrates the organisational learning from these activities.</w:t>
      </w:r>
    </w:p>
    <w:p w:rsidR="000900E7" w:rsidRDefault="000900E7" w:rsidP="000F3C0C">
      <w:pPr>
        <w:ind w:left="0" w:firstLine="0"/>
        <w:rPr>
          <w:rFonts w:cs="Arial"/>
        </w:rPr>
      </w:pPr>
      <w:r w:rsidRPr="000900E7">
        <w:rPr>
          <w:rFonts w:cs="Arial"/>
        </w:rPr>
        <w:t>The Queensland government introduced criminal history screening requirements for people who work for government-funded providers or for an NDIS registered provider. Such workers must undergo criminal history screening and be issued with a “positive notice”, which generates a Positive Notice Card (or Yellow Card). A provider is responsible for ensuring that applications for workers are submitted prior to the commencement of a person’s employment. The Queensland Police are responsible to monitor any changes to a person’s ‘positive notice’ status.</w:t>
      </w:r>
    </w:p>
    <w:p w:rsidR="000900E7" w:rsidRPr="000900E7" w:rsidRDefault="000900E7" w:rsidP="000F3C0C">
      <w:pPr>
        <w:ind w:left="0" w:firstLine="0"/>
        <w:rPr>
          <w:rFonts w:cs="Arial"/>
        </w:rPr>
      </w:pPr>
      <w:r w:rsidRPr="000900E7">
        <w:rPr>
          <w:rFonts w:cs="Arial"/>
        </w:rPr>
        <w:t>While third-party auditing has been undertaken in Queensland for some time, Queensland government had historically funded the cost. As such, the cost of audit to Queensland providers is new.</w:t>
      </w:r>
    </w:p>
    <w:p w:rsidR="000900E7" w:rsidRPr="00EE50FA" w:rsidRDefault="00C92C29" w:rsidP="00EE50FA">
      <w:pPr>
        <w:pStyle w:val="Heading2"/>
        <w:ind w:left="0" w:firstLine="0"/>
      </w:pPr>
      <w:r w:rsidRPr="00EE50FA">
        <w:t>South Australia</w:t>
      </w:r>
    </w:p>
    <w:p w:rsidR="000900E7" w:rsidRDefault="000900E7" w:rsidP="000F3C0C">
      <w:pPr>
        <w:ind w:left="0" w:firstLine="0"/>
        <w:rPr>
          <w:rFonts w:cs="Arial"/>
        </w:rPr>
      </w:pPr>
      <w:r w:rsidRPr="000900E7">
        <w:rPr>
          <w:rFonts w:cs="Arial"/>
        </w:rPr>
        <w:t xml:space="preserve">Disability services in SA were regulated by the </w:t>
      </w:r>
      <w:r w:rsidRPr="000900E7">
        <w:rPr>
          <w:rFonts w:cs="Arial"/>
          <w:i/>
        </w:rPr>
        <w:t>Disability Services Act 1993</w:t>
      </w:r>
      <w:r w:rsidRPr="000900E7">
        <w:rPr>
          <w:rFonts w:cs="Arial"/>
        </w:rPr>
        <w:t>. For non-government providers receiving disability funding from the SA Department of Human Services (DHS), quality requirements included: compliance with all applicable DHS polices and with funding terms that specified quality requirements; providers engaging in a formal quality improvement program that suited the size, type and complexity of their organisation; and engagement with the DHS unit monitoring service quality and collecting data about key performance indicators.</w:t>
      </w:r>
    </w:p>
    <w:p w:rsidR="000900E7" w:rsidRPr="000900E7" w:rsidRDefault="000900E7" w:rsidP="000F3C0C">
      <w:pPr>
        <w:ind w:left="0" w:firstLine="0"/>
        <w:rPr>
          <w:rFonts w:cs="Arial"/>
        </w:rPr>
      </w:pPr>
      <w:r w:rsidRPr="000900E7">
        <w:rPr>
          <w:rFonts w:cs="Arial"/>
        </w:rPr>
        <w:t xml:space="preserve">The requirement for a continuous quality improvement process was non-prescriptive meaning that providers could choose to work within an overarching quality assurance or service improvement framework configured to align with an appropriate industry standard (the National Standards for Disability Services among others). Providers could use a Standard like ISO 9001 or apply to participate in ASES (the Australian Service Excellence Standards), a quality improvement program developed by the state government. </w:t>
      </w:r>
    </w:p>
    <w:p w:rsidR="000900E7" w:rsidRDefault="000900E7" w:rsidP="000F3C0C">
      <w:pPr>
        <w:ind w:left="0" w:firstLine="0"/>
        <w:rPr>
          <w:rFonts w:cs="Arial"/>
        </w:rPr>
      </w:pPr>
      <w:r w:rsidRPr="000900E7">
        <w:rPr>
          <w:rFonts w:cs="Arial"/>
        </w:rPr>
        <w:t>The reporting of critical incidents was covered by Departmental policy (Safeguarding People with Disability Management of Care Concerns). Providers were required to report any incident involving a person with disability that might constitute an offence to the Police and had obligations to the Department under their funding agreements. They were also required to maintain accurate and up-to-date documentation on any allegations of deficits in care and the Department’s Investigations Unit could conduct investigations into serious care concerns. However, the system was heavily dependent on self-reporting.</w:t>
      </w:r>
    </w:p>
    <w:p w:rsidR="000900E7" w:rsidRPr="000900E7" w:rsidRDefault="000900E7" w:rsidP="000F3C0C">
      <w:pPr>
        <w:ind w:left="0" w:firstLine="0"/>
        <w:rPr>
          <w:rFonts w:cs="Arial"/>
        </w:rPr>
      </w:pPr>
      <w:r w:rsidRPr="000900E7">
        <w:rPr>
          <w:rFonts w:cs="Arial"/>
        </w:rPr>
        <w:t>All consents, authorisations and approvals for each use of a restrictive practice within an organisation was managed by a restrictive practices compliance officer; providers were also required to appoint an internal Restrictive Practice Governance Committee reporting regularly to the Chief Executive Officer and Board. The Office of the Senior Practitioner (currently vacant) was expected to visit services regularly in the context of which staff monitored the progress of each organisation towards building their internal restrictive practice reduction capacity and reducing their overall use of restrictive practices. However, service providers advise that reporting obligations out of this cycle were opaque.</w:t>
      </w:r>
    </w:p>
    <w:p w:rsidR="000900E7" w:rsidRPr="00EE50FA" w:rsidRDefault="00C92C29" w:rsidP="00EE50FA">
      <w:pPr>
        <w:pStyle w:val="Heading2"/>
        <w:ind w:left="0" w:firstLine="0"/>
      </w:pPr>
      <w:r w:rsidRPr="00EE50FA">
        <w:t>Tasmania</w:t>
      </w:r>
    </w:p>
    <w:p w:rsidR="000900E7" w:rsidRDefault="000900E7" w:rsidP="000F3C0C">
      <w:pPr>
        <w:ind w:left="0" w:firstLine="0"/>
        <w:rPr>
          <w:rFonts w:cs="Arial"/>
        </w:rPr>
      </w:pPr>
      <w:r w:rsidRPr="000900E7">
        <w:rPr>
          <w:rFonts w:cs="Arial"/>
        </w:rPr>
        <w:t xml:space="preserve">The </w:t>
      </w:r>
      <w:r w:rsidRPr="000900E7">
        <w:rPr>
          <w:rFonts w:cs="Arial"/>
          <w:i/>
        </w:rPr>
        <w:t>Disability Services Act 2011 (DSA)</w:t>
      </w:r>
      <w:r w:rsidRPr="000900E7">
        <w:rPr>
          <w:rFonts w:cs="Arial"/>
        </w:rPr>
        <w:t xml:space="preserve"> provides the legislative basis for disability service provision in Tasmania. Quality assurance was provided by the requirements of the </w:t>
      </w:r>
      <w:r w:rsidRPr="000900E7">
        <w:rPr>
          <w:rFonts w:cs="Arial"/>
          <w:i/>
        </w:rPr>
        <w:t>Tasmanian Disability Services Regulation 2015</w:t>
      </w:r>
      <w:r w:rsidRPr="000900E7">
        <w:rPr>
          <w:rFonts w:cs="Arial"/>
        </w:rPr>
        <w:t xml:space="preserve"> and the Quality and Safety Framework for Tasmania’s Department of Health and Human Services-funded Community Sector Organisations. </w:t>
      </w:r>
    </w:p>
    <w:p w:rsidR="000900E7" w:rsidRDefault="000900E7" w:rsidP="000F3C0C">
      <w:pPr>
        <w:ind w:left="0" w:firstLine="0"/>
        <w:rPr>
          <w:rFonts w:cs="Arial"/>
        </w:rPr>
      </w:pPr>
      <w:r w:rsidRPr="000900E7">
        <w:rPr>
          <w:rFonts w:cs="Arial"/>
        </w:rPr>
        <w:t xml:space="preserve">The Framework required providers to meet at least annually with the Department to discuss performance against the Funding Agreement, including provider activities in relation to supporting and monitoring compliance with the Framework. This included a requirement to have systems and processes in place to record and monitor improvement activities. </w:t>
      </w:r>
    </w:p>
    <w:p w:rsidR="000900E7" w:rsidRDefault="000900E7" w:rsidP="000F3C0C">
      <w:pPr>
        <w:ind w:left="0" w:firstLine="0"/>
        <w:rPr>
          <w:rFonts w:cs="Arial"/>
        </w:rPr>
      </w:pPr>
      <w:r w:rsidRPr="000900E7">
        <w:rPr>
          <w:rFonts w:cs="Arial"/>
        </w:rPr>
        <w:t>However, as in SA, these requirements were not highly prescriptive: providers only needed to undertake quality and safety activities against recognised standards (i.e. state, national, or international) relevant to the services funded by DHHS. And providers could choose the format that most appropriately met their needs to document continuous improvement activities.</w:t>
      </w:r>
    </w:p>
    <w:p w:rsidR="000900E7" w:rsidRDefault="000900E7" w:rsidP="000F3C0C">
      <w:pPr>
        <w:ind w:left="0" w:firstLine="0"/>
        <w:rPr>
          <w:rFonts w:cs="Arial"/>
        </w:rPr>
      </w:pPr>
      <w:r w:rsidRPr="000900E7">
        <w:rPr>
          <w:rFonts w:cs="Arial"/>
        </w:rPr>
        <w:t>Beyond that, providers were subject to a quality and safety review of their funded services at least once in a three-year cycle. These reviews were conducted by the Tasmanian Government’s Community Sector Quality and Safety (CSQS) Team via both desktop audits and site inspection visits. The CSQS Team advised the DHHS of the outcome of the review and worked with accredited CSOs on an individual basis to determine how their accreditation could be recognised by the Framework.</w:t>
      </w:r>
    </w:p>
    <w:p w:rsidR="000900E7" w:rsidRPr="000900E7" w:rsidRDefault="000900E7" w:rsidP="000F3C0C">
      <w:pPr>
        <w:ind w:left="0" w:firstLine="0"/>
        <w:rPr>
          <w:rFonts w:cs="Arial"/>
        </w:rPr>
      </w:pPr>
      <w:r w:rsidRPr="000900E7">
        <w:rPr>
          <w:rFonts w:cs="Arial"/>
        </w:rPr>
        <w:t xml:space="preserve">Policy of the Department of Disability and Community Services (DCS) also required funded partners to have a complaints management process and complainants were required to make use of that in the first instance. Where resolution could not achieved between the complainant and the provider, the matter could be pursued through the Tasmanian government’s Disability and Community Services’ area office to the Director of the Office. </w:t>
      </w:r>
    </w:p>
    <w:p w:rsidR="000900E7" w:rsidRDefault="000900E7" w:rsidP="000F3C0C">
      <w:pPr>
        <w:ind w:left="0" w:firstLine="0"/>
        <w:rPr>
          <w:rFonts w:cs="Arial"/>
        </w:rPr>
      </w:pPr>
      <w:r w:rsidRPr="000900E7">
        <w:rPr>
          <w:rFonts w:cs="Arial"/>
        </w:rPr>
        <w:t xml:space="preserve">With respect to critical (or reportable) incidents, providers were required to verbally report serious consumer related incidents (i.e. unexpected / unintended harm, injury or death of a consumer during an episode of funded service delivery etc.) to their Funding Agreement Manager within 24 hours or the next working day. </w:t>
      </w:r>
      <w:r w:rsidRPr="00B22D5C">
        <w:rPr>
          <w:rFonts w:cs="Arial"/>
        </w:rPr>
        <w:t>Regarding allegations of abuse, service providers’ responsibilities included preservation of evidence and provision of an Allegation of Abuse Alert form to DCS within two days of being notified of an allegation.</w:t>
      </w:r>
    </w:p>
    <w:p w:rsidR="000900E7" w:rsidRPr="000900E7" w:rsidRDefault="000900E7" w:rsidP="000F3C0C">
      <w:pPr>
        <w:ind w:left="0" w:firstLine="0"/>
        <w:contextualSpacing/>
        <w:rPr>
          <w:rFonts w:cs="Arial"/>
        </w:rPr>
      </w:pPr>
      <w:r w:rsidRPr="000900E7">
        <w:rPr>
          <w:rFonts w:cs="Arial"/>
        </w:rPr>
        <w:t>The use of regulated restrictive practices is also authorised by the DSA, which created the statutory office of Senior Practitioner. The definition of restrictive practices was noticeably narrower in Tasmania than other jurisdictions, covering only the two domains – ‘personal’ and ‘environmental’ – and with no reference to chemical restraints. Approval for the use of restrictive practices was provided by either the Secretary of the Department or the Guardianship &amp; Administration Board on the recommendation of the Senior Practitioner, subject to provision of a satisfactory behaviour support plan.</w:t>
      </w:r>
    </w:p>
    <w:p w:rsidR="000900E7" w:rsidRPr="00EE50FA" w:rsidRDefault="00C92C29" w:rsidP="00EE50FA">
      <w:pPr>
        <w:pStyle w:val="Heading2"/>
        <w:ind w:left="0" w:firstLine="0"/>
      </w:pPr>
      <w:r w:rsidRPr="00EE50FA">
        <w:t>Victoria</w:t>
      </w:r>
    </w:p>
    <w:p w:rsidR="000900E7" w:rsidRDefault="000900E7" w:rsidP="000F3C0C">
      <w:pPr>
        <w:ind w:left="0" w:firstLine="0"/>
        <w:rPr>
          <w:rFonts w:cs="Arial"/>
        </w:rPr>
      </w:pPr>
      <w:r w:rsidRPr="000900E7">
        <w:rPr>
          <w:rFonts w:cs="Arial"/>
        </w:rPr>
        <w:t xml:space="preserve">Disability service providers that applied for registration under the </w:t>
      </w:r>
      <w:r w:rsidRPr="000900E7">
        <w:rPr>
          <w:rFonts w:cs="Arial"/>
          <w:i/>
        </w:rPr>
        <w:t>Disability Act 2006</w:t>
      </w:r>
      <w:r w:rsidRPr="000900E7">
        <w:rPr>
          <w:rFonts w:cs="Arial"/>
        </w:rPr>
        <w:t xml:space="preserve"> needed to demonstrate their capacity to comply with the Human Services Standards of the Department of Health and Human Services (DHHS), a process undertaken through an online self-assessment tool. Most registered organisations were further required to undertake an independent, third party review within 12 months of initial registration and to demonstrate continuing compliance with the Standards at the time of renewal of registration. The assessment cycle covered three years from the initial audit through a mid-cycle review and development of Continuous Quality Improvement Plan. </w:t>
      </w:r>
    </w:p>
    <w:p w:rsidR="000900E7" w:rsidRDefault="000900E7" w:rsidP="000F3C0C">
      <w:pPr>
        <w:ind w:left="0" w:firstLine="0"/>
        <w:rPr>
          <w:rFonts w:cs="Arial"/>
        </w:rPr>
      </w:pPr>
      <w:r w:rsidRPr="000900E7">
        <w:rPr>
          <w:rFonts w:cs="Arial"/>
        </w:rPr>
        <w:t>Complaints about service provision have been handled by the Office of the Disability Services Commissioner, which required providers to report annually on complaints received, had powers to investigate those complaints further or to receive complaints from people with disability and their supporters directly and in the last 18 months has been reviewing all deaths of people with disability.</w:t>
      </w:r>
    </w:p>
    <w:p w:rsidR="000900E7" w:rsidRDefault="000900E7" w:rsidP="000F3C0C">
      <w:pPr>
        <w:ind w:left="0" w:firstLine="0"/>
        <w:rPr>
          <w:rFonts w:cs="Arial"/>
        </w:rPr>
      </w:pPr>
      <w:r w:rsidRPr="000900E7">
        <w:rPr>
          <w:rFonts w:cs="Arial"/>
        </w:rPr>
        <w:t xml:space="preserve">In respect of worker screening, Victoria has recently required all disability service providers to conduct an additional pre-employment check prior to making an offer of employment to a potential employee (the Disability Worker Exclusion Scheme). The state government has also passed the </w:t>
      </w:r>
      <w:r w:rsidRPr="000900E7">
        <w:rPr>
          <w:rFonts w:cs="Arial"/>
          <w:i/>
        </w:rPr>
        <w:t>Disability Service Safeguards Act 2018</w:t>
      </w:r>
      <w:r w:rsidRPr="000900E7">
        <w:rPr>
          <w:rFonts w:cs="Arial"/>
        </w:rPr>
        <w:t xml:space="preserve"> which provides for a voluntary Disability Worker Registration Scheme and a catch-all Victorian Disability Worker Commission which will introduce a mandatory code of conduct for workers.</w:t>
      </w:r>
    </w:p>
    <w:p w:rsidR="000900E7" w:rsidRPr="000900E7" w:rsidRDefault="000900E7" w:rsidP="000F3C0C">
      <w:pPr>
        <w:ind w:left="0" w:firstLine="0"/>
        <w:rPr>
          <w:rFonts w:cs="Arial"/>
        </w:rPr>
      </w:pPr>
      <w:r w:rsidRPr="000900E7">
        <w:rPr>
          <w:rFonts w:cs="Arial"/>
        </w:rPr>
        <w:t>Prior to July 2019, the DHHS’s Office of the Senior Practitioner (OSP) was responsible for the authorising of and receiving reports on the use of restrictive practices in Victoria. Behaviour support plans need to the lodged with the OSP with all lodgement and reporting done through an online portal.</w:t>
      </w:r>
    </w:p>
    <w:p w:rsidR="000900E7" w:rsidRPr="00EE50FA" w:rsidRDefault="00C92C29" w:rsidP="00EE50FA">
      <w:pPr>
        <w:pStyle w:val="Heading2"/>
        <w:ind w:left="0" w:firstLine="0"/>
      </w:pPr>
      <w:r w:rsidRPr="00EE50FA">
        <w:t>Western Australia</w:t>
      </w:r>
    </w:p>
    <w:p w:rsidR="000900E7" w:rsidRDefault="000900E7" w:rsidP="000F3C0C">
      <w:pPr>
        <w:ind w:left="0" w:firstLine="0"/>
        <w:rPr>
          <w:rFonts w:cs="Arial"/>
        </w:rPr>
      </w:pPr>
      <w:r w:rsidRPr="000900E7">
        <w:rPr>
          <w:rFonts w:cs="Arial"/>
        </w:rPr>
        <w:t xml:space="preserve">The WA Quality System for disability service providers has operated since the late 1990s. It includes both a self-assessment and triennial quality evaluation visits to assess providers against the National Standards for Disability Services (NSDS), conducted by the State Government’s Department of Communities. The Independent Assessments result in a report and findings that either recommend or require actions, the latter being tracked by the Department to ensure compliance. </w:t>
      </w:r>
    </w:p>
    <w:p w:rsidR="000900E7" w:rsidRDefault="000900E7" w:rsidP="000F3C0C">
      <w:pPr>
        <w:ind w:left="0" w:firstLine="0"/>
        <w:rPr>
          <w:rFonts w:cs="Arial"/>
        </w:rPr>
      </w:pPr>
      <w:r w:rsidRPr="000900E7">
        <w:rPr>
          <w:rFonts w:cs="Arial"/>
        </w:rPr>
        <w:t xml:space="preserve">The Department also requires registered service providers to have a complaints systems that conforms to the NSDS and to report annually on complaints received and how these have been handled. A third-party complaints handling agency exists in the form of the Health and Disability Services Complaints Office. Complaints must be lodged in writing “unless there is a good reason why this is not possible” and settlement of matters is confidential. According to HaDSCO, only 3% of the complaints received in 2017-2018 were related to disability services. </w:t>
      </w:r>
    </w:p>
    <w:p w:rsidR="000900E7" w:rsidRDefault="000900E7" w:rsidP="000F3C0C">
      <w:pPr>
        <w:ind w:left="0" w:firstLine="0"/>
        <w:rPr>
          <w:rFonts w:cs="Arial"/>
        </w:rPr>
      </w:pPr>
      <w:r w:rsidRPr="000900E7">
        <w:rPr>
          <w:rFonts w:cs="Arial"/>
        </w:rPr>
        <w:t xml:space="preserve">Serious incidents that affect people with disability must be reported by service providers to the Department of Communities within seven days. </w:t>
      </w:r>
    </w:p>
    <w:p w:rsidR="000900E7" w:rsidRPr="00346370" w:rsidRDefault="000900E7" w:rsidP="000F3C0C">
      <w:pPr>
        <w:ind w:left="0" w:firstLine="0"/>
        <w:rPr>
          <w:rFonts w:cs="Arial"/>
        </w:rPr>
      </w:pPr>
      <w:r w:rsidRPr="000900E7">
        <w:rPr>
          <w:rFonts w:cs="Arial"/>
        </w:rPr>
        <w:t>Since 2012 Positive Behaviour Supports have been dealt with under the WA Code for the Elimination of Restrictive Practices, although participation remained voluntary for providers until 2018 when the Quality and Safeguarding Working Arrangements for transition to the NDIS in WA were released. WA has not had a state-managed authorisation process for restrictive practices. This is currently being developed for implementation from 1 July 2020.</w:t>
      </w:r>
    </w:p>
    <w:p w:rsidR="00EE50FA" w:rsidRDefault="00EE50FA">
      <w:pPr>
        <w:spacing w:before="0" w:after="0"/>
        <w:rPr>
          <w:rFonts w:eastAsia="MS Mincho" w:cs="Arial"/>
          <w:b/>
          <w:bCs/>
          <w:sz w:val="22"/>
          <w:lang w:eastAsia="ja-JP"/>
        </w:rPr>
      </w:pPr>
      <w:r>
        <w:rPr>
          <w:rFonts w:eastAsia="MS Mincho" w:cs="Arial"/>
          <w:b/>
          <w:bCs/>
          <w:sz w:val="22"/>
          <w:lang w:eastAsia="ja-JP"/>
        </w:rPr>
        <w:br w:type="page"/>
      </w:r>
    </w:p>
    <w:p w:rsidR="000E0BB1" w:rsidRPr="00714841" w:rsidRDefault="00571331" w:rsidP="00EE50FA">
      <w:pPr>
        <w:ind w:left="0" w:firstLine="0"/>
        <w:contextualSpacing/>
        <w:rPr>
          <w:rFonts w:eastAsia="MS Mincho" w:cs="Arial"/>
          <w:b/>
          <w:bCs/>
          <w:lang w:eastAsia="ja-JP"/>
        </w:rPr>
      </w:pPr>
      <w:r>
        <w:rPr>
          <w:rFonts w:eastAsia="MS Mincho" w:cs="Arial"/>
          <w:b/>
          <w:bCs/>
          <w:lang w:eastAsia="ja-JP"/>
        </w:rPr>
        <w:t>February 2020</w:t>
      </w:r>
    </w:p>
    <w:p w:rsidR="00774608" w:rsidRDefault="00774608" w:rsidP="000F3C0C">
      <w:pPr>
        <w:autoSpaceDE w:val="0"/>
        <w:autoSpaceDN w:val="0"/>
        <w:adjustRightInd w:val="0"/>
        <w:ind w:left="0" w:firstLine="0"/>
        <w:contextualSpacing/>
        <w:rPr>
          <w:rFonts w:cs="Arial"/>
          <w:b/>
          <w:color w:val="000000"/>
          <w:lang w:val="en-US"/>
        </w:rPr>
      </w:pPr>
    </w:p>
    <w:p w:rsidR="00131721" w:rsidRPr="00131721" w:rsidRDefault="00511137" w:rsidP="000F3C0C">
      <w:pPr>
        <w:autoSpaceDE w:val="0"/>
        <w:autoSpaceDN w:val="0"/>
        <w:adjustRightInd w:val="0"/>
        <w:ind w:left="0" w:firstLine="0"/>
        <w:contextualSpacing/>
        <w:rPr>
          <w:rFonts w:cs="Arial"/>
          <w:color w:val="000000"/>
          <w:lang w:val="en-US"/>
        </w:rPr>
      </w:pPr>
      <w:r>
        <w:rPr>
          <w:rFonts w:cs="Arial"/>
          <w:b/>
          <w:color w:val="000000"/>
          <w:lang w:val="en-US"/>
        </w:rPr>
        <w:t>C</w:t>
      </w:r>
      <w:r w:rsidR="00131721" w:rsidRPr="00131721">
        <w:rPr>
          <w:rFonts w:cs="Arial"/>
          <w:b/>
          <w:color w:val="000000"/>
          <w:lang w:val="en-US"/>
        </w:rPr>
        <w:t>ontact:</w:t>
      </w:r>
      <w:r w:rsidR="00131721" w:rsidRPr="00131721">
        <w:rPr>
          <w:rFonts w:cs="Arial"/>
          <w:b/>
          <w:color w:val="000000"/>
          <w:lang w:val="en-US"/>
        </w:rPr>
        <w:tab/>
      </w:r>
      <w:r w:rsidR="00131721" w:rsidRPr="00131721">
        <w:rPr>
          <w:rFonts w:cs="Arial"/>
          <w:color w:val="000000"/>
          <w:lang w:val="en-US"/>
        </w:rPr>
        <w:t xml:space="preserve">David Moody </w:t>
      </w:r>
    </w:p>
    <w:p w:rsidR="00131721" w:rsidRPr="00131721" w:rsidRDefault="00131721" w:rsidP="000F3C0C">
      <w:pPr>
        <w:autoSpaceDE w:val="0"/>
        <w:autoSpaceDN w:val="0"/>
        <w:adjustRightInd w:val="0"/>
        <w:ind w:left="0" w:firstLine="720"/>
        <w:contextualSpacing/>
        <w:rPr>
          <w:rFonts w:cs="Arial"/>
          <w:color w:val="000000"/>
          <w:lang w:val="en-US"/>
        </w:rPr>
      </w:pPr>
      <w:r w:rsidRPr="00131721">
        <w:rPr>
          <w:rFonts w:cs="Arial"/>
          <w:color w:val="000000"/>
          <w:lang w:val="en-US"/>
        </w:rPr>
        <w:t>Acting Chief Executive Officer</w:t>
      </w:r>
    </w:p>
    <w:p w:rsidR="00131721" w:rsidRPr="00131721" w:rsidRDefault="00131721" w:rsidP="000F3C0C">
      <w:pPr>
        <w:autoSpaceDE w:val="0"/>
        <w:autoSpaceDN w:val="0"/>
        <w:adjustRightInd w:val="0"/>
        <w:ind w:left="0" w:firstLine="720"/>
        <w:contextualSpacing/>
        <w:rPr>
          <w:rFonts w:cs="Arial"/>
          <w:color w:val="000000"/>
          <w:lang w:val="en-US"/>
        </w:rPr>
      </w:pPr>
      <w:r w:rsidRPr="00131721">
        <w:rPr>
          <w:rFonts w:cs="Arial"/>
          <w:color w:val="000000"/>
          <w:lang w:val="en-US"/>
        </w:rPr>
        <w:t>National Disability Services</w:t>
      </w:r>
    </w:p>
    <w:p w:rsidR="00131721" w:rsidRPr="00131721" w:rsidRDefault="00131721" w:rsidP="000F3C0C">
      <w:pPr>
        <w:autoSpaceDE w:val="0"/>
        <w:autoSpaceDN w:val="0"/>
        <w:adjustRightInd w:val="0"/>
        <w:ind w:left="0" w:firstLine="720"/>
        <w:contextualSpacing/>
        <w:rPr>
          <w:rFonts w:cs="Arial"/>
          <w:color w:val="000000"/>
          <w:lang w:val="en-US"/>
        </w:rPr>
      </w:pPr>
      <w:r w:rsidRPr="00131721">
        <w:rPr>
          <w:rFonts w:cs="Arial"/>
          <w:color w:val="000000"/>
          <w:lang w:val="en-US"/>
        </w:rPr>
        <w:t xml:space="preserve">Ph: </w:t>
      </w:r>
      <w:hyperlink r:id="rId28" w:tgtFrame="_blank" w:history="1">
        <w:r w:rsidRPr="00131721">
          <w:rPr>
            <w:rFonts w:cs="Arial"/>
            <w:color w:val="000001"/>
            <w:lang w:eastAsia="en-AU"/>
          </w:rPr>
          <w:t>03 8341 4343</w:t>
        </w:r>
      </w:hyperlink>
    </w:p>
    <w:p w:rsidR="00131721" w:rsidRPr="00131721" w:rsidRDefault="00131721" w:rsidP="000F3C0C">
      <w:pPr>
        <w:autoSpaceDE w:val="0"/>
        <w:autoSpaceDN w:val="0"/>
        <w:adjustRightInd w:val="0"/>
        <w:ind w:left="0" w:firstLine="720"/>
        <w:contextualSpacing/>
        <w:rPr>
          <w:rFonts w:cs="Arial"/>
          <w:color w:val="000000"/>
          <w:lang w:val="en-US"/>
        </w:rPr>
      </w:pPr>
      <w:r w:rsidRPr="00131721">
        <w:rPr>
          <w:rFonts w:cs="Arial"/>
          <w:color w:val="000000"/>
          <w:lang w:val="en-US"/>
        </w:rPr>
        <w:t xml:space="preserve">Mob: </w:t>
      </w:r>
      <w:hyperlink r:id="rId29" w:tgtFrame="_blank" w:history="1">
        <w:r w:rsidRPr="00131721">
          <w:rPr>
            <w:rFonts w:cs="Arial"/>
            <w:color w:val="000001"/>
            <w:lang w:eastAsia="en-AU"/>
          </w:rPr>
          <w:t>0437 107 851</w:t>
        </w:r>
      </w:hyperlink>
    </w:p>
    <w:p w:rsidR="00131721" w:rsidRPr="00131721" w:rsidRDefault="00131721" w:rsidP="000F3C0C">
      <w:pPr>
        <w:autoSpaceDE w:val="0"/>
        <w:autoSpaceDN w:val="0"/>
        <w:adjustRightInd w:val="0"/>
        <w:ind w:left="0" w:firstLine="720"/>
        <w:contextualSpacing/>
        <w:rPr>
          <w:rFonts w:cs="Arial"/>
          <w:color w:val="000000"/>
          <w:lang w:val="en-US"/>
        </w:rPr>
      </w:pPr>
      <w:r w:rsidRPr="00131721">
        <w:rPr>
          <w:rFonts w:cs="Arial"/>
          <w:color w:val="000000"/>
          <w:lang w:val="en-US"/>
        </w:rPr>
        <w:t>E: david.moody@nds.org.au</w:t>
      </w:r>
    </w:p>
    <w:p w:rsidR="00131721" w:rsidRPr="00131721" w:rsidRDefault="00131721" w:rsidP="000F3C0C">
      <w:pPr>
        <w:autoSpaceDE w:val="0"/>
        <w:autoSpaceDN w:val="0"/>
        <w:adjustRightInd w:val="0"/>
        <w:ind w:left="0" w:firstLine="0"/>
        <w:contextualSpacing/>
        <w:rPr>
          <w:rFonts w:eastAsia="MS Mincho" w:cs="Arial"/>
          <w:b/>
          <w:sz w:val="28"/>
          <w:szCs w:val="28"/>
          <w:lang w:eastAsia="ja-JP"/>
        </w:rPr>
      </w:pPr>
    </w:p>
    <w:p w:rsidR="007A4837" w:rsidRDefault="00131721" w:rsidP="000F3C0C">
      <w:pPr>
        <w:ind w:left="0" w:firstLine="0"/>
        <w:contextualSpacing/>
        <w:rPr>
          <w:rFonts w:cs="Arial"/>
          <w:lang w:val="en-US"/>
        </w:rPr>
      </w:pPr>
      <w:r w:rsidRPr="00131721">
        <w:rPr>
          <w:rFonts w:cs="Arial"/>
          <w:b/>
          <w:bCs/>
          <w:color w:val="000000"/>
          <w:sz w:val="28"/>
          <w:szCs w:val="28"/>
          <w:lang w:val="en-US"/>
        </w:rPr>
        <w:t>National Disability Services</w:t>
      </w:r>
      <w:r w:rsidRPr="00131721">
        <w:rPr>
          <w:rFonts w:cs="Arial"/>
          <w:b/>
          <w:bCs/>
          <w:color w:val="000000"/>
          <w:lang w:val="en-US"/>
        </w:rPr>
        <w:t xml:space="preserve"> </w:t>
      </w:r>
      <w:r w:rsidRPr="00131721">
        <w:rPr>
          <w:rFonts w:cs="Arial"/>
          <w:color w:val="000000"/>
          <w:lang w:val="en-US"/>
        </w:rPr>
        <w:t xml:space="preserve">is the peak industry body for non-government disability services. It represents service providers across Australia in their work to deliver high-quality supports and life opportunities for people with disability. Its Australia-wide membership includes </w:t>
      </w:r>
      <w:r w:rsidR="00B27292">
        <w:rPr>
          <w:rFonts w:cs="Arial"/>
          <w:color w:val="000000"/>
          <w:lang w:val="en-US"/>
        </w:rPr>
        <w:t>over 1050 n</w:t>
      </w:r>
      <w:r w:rsidRPr="00131721">
        <w:rPr>
          <w:rFonts w:cs="Arial"/>
          <w:color w:val="000000"/>
          <w:lang w:val="en-US"/>
        </w:rPr>
        <w:t>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7A4837" w:rsidSect="000F3C0C">
      <w:headerReference w:type="default" r:id="rId30"/>
      <w:footerReference w:type="even" r:id="rId31"/>
      <w:footerReference w:type="default" r:id="rId32"/>
      <w:footerReference w:type="first" r:id="rId33"/>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B1" w:rsidRDefault="00E27FB1">
      <w:r>
        <w:separator/>
      </w:r>
    </w:p>
  </w:endnote>
  <w:endnote w:type="continuationSeparator" w:id="0">
    <w:p w:rsidR="00E27FB1" w:rsidRDefault="00E2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B1" w:rsidRDefault="00E27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FB1" w:rsidRDefault="00E27F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01373"/>
      <w:docPartObj>
        <w:docPartGallery w:val="Page Numbers (Bottom of Page)"/>
        <w:docPartUnique/>
      </w:docPartObj>
    </w:sdtPr>
    <w:sdtEndPr>
      <w:rPr>
        <w:rFonts w:cs="Arial"/>
        <w:noProof/>
      </w:rPr>
    </w:sdtEndPr>
    <w:sdtContent>
      <w:p w:rsidR="00E27FB1" w:rsidRPr="0094454E" w:rsidRDefault="00E27FB1" w:rsidP="00FC37ED">
        <w:pPr>
          <w:pStyle w:val="Footer"/>
          <w:jc w:val="right"/>
          <w:rPr>
            <w:rFonts w:cs="Arial"/>
          </w:rPr>
        </w:pPr>
        <w:r w:rsidRPr="0094454E">
          <w:rPr>
            <w:rFonts w:cs="Arial"/>
          </w:rPr>
          <w:fldChar w:fldCharType="begin"/>
        </w:r>
        <w:r w:rsidRPr="0094454E">
          <w:rPr>
            <w:rFonts w:cs="Arial"/>
          </w:rPr>
          <w:instrText xml:space="preserve"> PAGE   \* MERGEFORMAT </w:instrText>
        </w:r>
        <w:r w:rsidRPr="0094454E">
          <w:rPr>
            <w:rFonts w:cs="Arial"/>
          </w:rPr>
          <w:fldChar w:fldCharType="separate"/>
        </w:r>
        <w:r w:rsidR="00EE50FA">
          <w:rPr>
            <w:rFonts w:cs="Arial"/>
            <w:noProof/>
          </w:rPr>
          <w:t>22</w:t>
        </w:r>
        <w:r w:rsidRPr="0094454E">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B1" w:rsidRDefault="00E27FB1" w:rsidP="000F3C0C">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B1" w:rsidRDefault="00E27FB1">
      <w:r>
        <w:separator/>
      </w:r>
    </w:p>
  </w:footnote>
  <w:footnote w:type="continuationSeparator" w:id="0">
    <w:p w:rsidR="00E27FB1" w:rsidRDefault="00E2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B1" w:rsidRDefault="00E27FB1" w:rsidP="000F3C0C">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5DFE"/>
    <w:multiLevelType w:val="multilevel"/>
    <w:tmpl w:val="698CB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82A19"/>
    <w:multiLevelType w:val="multilevel"/>
    <w:tmpl w:val="9DB2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70633"/>
    <w:multiLevelType w:val="hybridMultilevel"/>
    <w:tmpl w:val="00728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4E200C9"/>
    <w:multiLevelType w:val="multilevel"/>
    <w:tmpl w:val="94BA1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664520"/>
    <w:multiLevelType w:val="hybridMultilevel"/>
    <w:tmpl w:val="75388A88"/>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42644201"/>
    <w:multiLevelType w:val="hybridMultilevel"/>
    <w:tmpl w:val="E8D844C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5E3843A4"/>
    <w:multiLevelType w:val="multilevel"/>
    <w:tmpl w:val="47889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02376F"/>
    <w:multiLevelType w:val="multilevel"/>
    <w:tmpl w:val="94726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756952"/>
    <w:multiLevelType w:val="multilevel"/>
    <w:tmpl w:val="5E461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090102"/>
    <w:multiLevelType w:val="multilevel"/>
    <w:tmpl w:val="BD3E8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9"/>
  </w:num>
  <w:num w:numId="4">
    <w:abstractNumId w:val="6"/>
  </w:num>
  <w:num w:numId="5">
    <w:abstractNumId w:val="3"/>
  </w:num>
  <w:num w:numId="6">
    <w:abstractNumId w:val="0"/>
  </w:num>
  <w:num w:numId="7">
    <w:abstractNumId w:val="2"/>
  </w:num>
  <w:num w:numId="8">
    <w:abstractNumId w:val="4"/>
  </w:num>
  <w:num w:numId="9">
    <w:abstractNumId w:val="1"/>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A"/>
    <w:rsid w:val="000008BF"/>
    <w:rsid w:val="00000A99"/>
    <w:rsid w:val="00000B55"/>
    <w:rsid w:val="000010A1"/>
    <w:rsid w:val="000017C7"/>
    <w:rsid w:val="00001968"/>
    <w:rsid w:val="00001A32"/>
    <w:rsid w:val="00001CA0"/>
    <w:rsid w:val="00002030"/>
    <w:rsid w:val="0000206D"/>
    <w:rsid w:val="000020A5"/>
    <w:rsid w:val="000021AF"/>
    <w:rsid w:val="000022A9"/>
    <w:rsid w:val="00002532"/>
    <w:rsid w:val="00002714"/>
    <w:rsid w:val="00002BEC"/>
    <w:rsid w:val="00002C32"/>
    <w:rsid w:val="00002C67"/>
    <w:rsid w:val="00002F38"/>
    <w:rsid w:val="00002F57"/>
    <w:rsid w:val="00003067"/>
    <w:rsid w:val="000030AD"/>
    <w:rsid w:val="00003457"/>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5F82"/>
    <w:rsid w:val="0000616F"/>
    <w:rsid w:val="0000656A"/>
    <w:rsid w:val="00006A73"/>
    <w:rsid w:val="00006BBF"/>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A57"/>
    <w:rsid w:val="00012C06"/>
    <w:rsid w:val="00012CD7"/>
    <w:rsid w:val="00012D61"/>
    <w:rsid w:val="000131CC"/>
    <w:rsid w:val="00013533"/>
    <w:rsid w:val="00013725"/>
    <w:rsid w:val="0001382E"/>
    <w:rsid w:val="00013893"/>
    <w:rsid w:val="00013E8E"/>
    <w:rsid w:val="00013EA3"/>
    <w:rsid w:val="00014236"/>
    <w:rsid w:val="00014795"/>
    <w:rsid w:val="00014C20"/>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1C3"/>
    <w:rsid w:val="000225A3"/>
    <w:rsid w:val="000225BF"/>
    <w:rsid w:val="0002280E"/>
    <w:rsid w:val="00022876"/>
    <w:rsid w:val="00022EE8"/>
    <w:rsid w:val="00022F0E"/>
    <w:rsid w:val="00023330"/>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9EB"/>
    <w:rsid w:val="00030B00"/>
    <w:rsid w:val="00030F9A"/>
    <w:rsid w:val="00030FC4"/>
    <w:rsid w:val="00030FF4"/>
    <w:rsid w:val="00031170"/>
    <w:rsid w:val="00031875"/>
    <w:rsid w:val="00031B49"/>
    <w:rsid w:val="00031C73"/>
    <w:rsid w:val="00032318"/>
    <w:rsid w:val="000327E9"/>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201"/>
    <w:rsid w:val="0003744F"/>
    <w:rsid w:val="00037A96"/>
    <w:rsid w:val="000403B0"/>
    <w:rsid w:val="000404A8"/>
    <w:rsid w:val="00040A79"/>
    <w:rsid w:val="00040C1B"/>
    <w:rsid w:val="00040CAF"/>
    <w:rsid w:val="000411AC"/>
    <w:rsid w:val="00041355"/>
    <w:rsid w:val="00041602"/>
    <w:rsid w:val="0004188C"/>
    <w:rsid w:val="00041B91"/>
    <w:rsid w:val="00041CAC"/>
    <w:rsid w:val="00041D89"/>
    <w:rsid w:val="00041DAD"/>
    <w:rsid w:val="00041DBF"/>
    <w:rsid w:val="000420CF"/>
    <w:rsid w:val="000422CB"/>
    <w:rsid w:val="0004289F"/>
    <w:rsid w:val="00042B79"/>
    <w:rsid w:val="00042CE5"/>
    <w:rsid w:val="00042F52"/>
    <w:rsid w:val="00042FEE"/>
    <w:rsid w:val="0004332D"/>
    <w:rsid w:val="0004334A"/>
    <w:rsid w:val="0004337A"/>
    <w:rsid w:val="00043852"/>
    <w:rsid w:val="00043BB7"/>
    <w:rsid w:val="00043E87"/>
    <w:rsid w:val="00044095"/>
    <w:rsid w:val="0004411F"/>
    <w:rsid w:val="00044198"/>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5C3"/>
    <w:rsid w:val="000476D1"/>
    <w:rsid w:val="0004774F"/>
    <w:rsid w:val="00047B58"/>
    <w:rsid w:val="00047C65"/>
    <w:rsid w:val="00047EA1"/>
    <w:rsid w:val="000500BD"/>
    <w:rsid w:val="000503BC"/>
    <w:rsid w:val="00050834"/>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3DD5"/>
    <w:rsid w:val="00053E45"/>
    <w:rsid w:val="000542B1"/>
    <w:rsid w:val="00054485"/>
    <w:rsid w:val="00054535"/>
    <w:rsid w:val="00054C94"/>
    <w:rsid w:val="00054DEF"/>
    <w:rsid w:val="00054E9E"/>
    <w:rsid w:val="00054EE9"/>
    <w:rsid w:val="00054F8C"/>
    <w:rsid w:val="00055127"/>
    <w:rsid w:val="00055162"/>
    <w:rsid w:val="0005553B"/>
    <w:rsid w:val="0005554F"/>
    <w:rsid w:val="00055950"/>
    <w:rsid w:val="00055A21"/>
    <w:rsid w:val="00055D78"/>
    <w:rsid w:val="00055F96"/>
    <w:rsid w:val="000564CC"/>
    <w:rsid w:val="00056863"/>
    <w:rsid w:val="00056B36"/>
    <w:rsid w:val="00056FBB"/>
    <w:rsid w:val="00057386"/>
    <w:rsid w:val="000575DD"/>
    <w:rsid w:val="00057813"/>
    <w:rsid w:val="0005791C"/>
    <w:rsid w:val="00060093"/>
    <w:rsid w:val="0006025C"/>
    <w:rsid w:val="00060289"/>
    <w:rsid w:val="00060996"/>
    <w:rsid w:val="00060A77"/>
    <w:rsid w:val="00060ACD"/>
    <w:rsid w:val="00060EC8"/>
    <w:rsid w:val="00061382"/>
    <w:rsid w:val="00061509"/>
    <w:rsid w:val="000617A6"/>
    <w:rsid w:val="00061923"/>
    <w:rsid w:val="000619C8"/>
    <w:rsid w:val="00061A35"/>
    <w:rsid w:val="00061F94"/>
    <w:rsid w:val="0006279C"/>
    <w:rsid w:val="0006296E"/>
    <w:rsid w:val="00062A85"/>
    <w:rsid w:val="00062BC4"/>
    <w:rsid w:val="00062D55"/>
    <w:rsid w:val="00062D76"/>
    <w:rsid w:val="00062DC7"/>
    <w:rsid w:val="000630DB"/>
    <w:rsid w:val="00063254"/>
    <w:rsid w:val="000633F6"/>
    <w:rsid w:val="00063884"/>
    <w:rsid w:val="000639B6"/>
    <w:rsid w:val="00063D5A"/>
    <w:rsid w:val="00063D64"/>
    <w:rsid w:val="00063E87"/>
    <w:rsid w:val="00063EF0"/>
    <w:rsid w:val="00064039"/>
    <w:rsid w:val="00064150"/>
    <w:rsid w:val="00064ACA"/>
    <w:rsid w:val="00064F24"/>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446"/>
    <w:rsid w:val="00067B37"/>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225F"/>
    <w:rsid w:val="00072325"/>
    <w:rsid w:val="00072803"/>
    <w:rsid w:val="00072CBC"/>
    <w:rsid w:val="00072EF5"/>
    <w:rsid w:val="000731BF"/>
    <w:rsid w:val="0007322A"/>
    <w:rsid w:val="00073765"/>
    <w:rsid w:val="000738CD"/>
    <w:rsid w:val="000739F3"/>
    <w:rsid w:val="00073CDC"/>
    <w:rsid w:val="00073E1C"/>
    <w:rsid w:val="00073EEA"/>
    <w:rsid w:val="000745E6"/>
    <w:rsid w:val="00074DC7"/>
    <w:rsid w:val="0007510C"/>
    <w:rsid w:val="0007543C"/>
    <w:rsid w:val="0007548B"/>
    <w:rsid w:val="000755CB"/>
    <w:rsid w:val="00075EDC"/>
    <w:rsid w:val="00076042"/>
    <w:rsid w:val="000760A3"/>
    <w:rsid w:val="00076396"/>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8A7"/>
    <w:rsid w:val="00077A24"/>
    <w:rsid w:val="00077ADF"/>
    <w:rsid w:val="000802AC"/>
    <w:rsid w:val="000803AE"/>
    <w:rsid w:val="00080575"/>
    <w:rsid w:val="000809E6"/>
    <w:rsid w:val="000812B2"/>
    <w:rsid w:val="00081327"/>
    <w:rsid w:val="000814C2"/>
    <w:rsid w:val="00081669"/>
    <w:rsid w:val="000816D2"/>
    <w:rsid w:val="0008176F"/>
    <w:rsid w:val="00081787"/>
    <w:rsid w:val="00081C23"/>
    <w:rsid w:val="00081FDD"/>
    <w:rsid w:val="000821D1"/>
    <w:rsid w:val="00082354"/>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5A7"/>
    <w:rsid w:val="0008565B"/>
    <w:rsid w:val="000856D2"/>
    <w:rsid w:val="00085E6E"/>
    <w:rsid w:val="00085F0C"/>
    <w:rsid w:val="00085F1C"/>
    <w:rsid w:val="000860DE"/>
    <w:rsid w:val="0008633E"/>
    <w:rsid w:val="00086372"/>
    <w:rsid w:val="000863B2"/>
    <w:rsid w:val="00086935"/>
    <w:rsid w:val="00087179"/>
    <w:rsid w:val="000872A5"/>
    <w:rsid w:val="000873D4"/>
    <w:rsid w:val="00087543"/>
    <w:rsid w:val="0008781C"/>
    <w:rsid w:val="00087CBD"/>
    <w:rsid w:val="00087D4E"/>
    <w:rsid w:val="00087E17"/>
    <w:rsid w:val="00087FA2"/>
    <w:rsid w:val="000900E7"/>
    <w:rsid w:val="00090135"/>
    <w:rsid w:val="000901A6"/>
    <w:rsid w:val="00090613"/>
    <w:rsid w:val="000909DB"/>
    <w:rsid w:val="00090DD0"/>
    <w:rsid w:val="00090FBC"/>
    <w:rsid w:val="0009110E"/>
    <w:rsid w:val="000919D4"/>
    <w:rsid w:val="00091A54"/>
    <w:rsid w:val="00091B77"/>
    <w:rsid w:val="00091D70"/>
    <w:rsid w:val="000923A4"/>
    <w:rsid w:val="0009264E"/>
    <w:rsid w:val="000926D5"/>
    <w:rsid w:val="00092868"/>
    <w:rsid w:val="00092AFE"/>
    <w:rsid w:val="00092F2D"/>
    <w:rsid w:val="00092F89"/>
    <w:rsid w:val="0009362D"/>
    <w:rsid w:val="000938B2"/>
    <w:rsid w:val="000938DC"/>
    <w:rsid w:val="00093934"/>
    <w:rsid w:val="00093B95"/>
    <w:rsid w:val="00093C28"/>
    <w:rsid w:val="00094493"/>
    <w:rsid w:val="00094E29"/>
    <w:rsid w:val="00094E40"/>
    <w:rsid w:val="00094FD4"/>
    <w:rsid w:val="000950F1"/>
    <w:rsid w:val="000954E3"/>
    <w:rsid w:val="000956BD"/>
    <w:rsid w:val="00095ED7"/>
    <w:rsid w:val="00096073"/>
    <w:rsid w:val="00096108"/>
    <w:rsid w:val="0009621B"/>
    <w:rsid w:val="0009634B"/>
    <w:rsid w:val="0009635B"/>
    <w:rsid w:val="000964E5"/>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0FF9"/>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0DA"/>
    <w:rsid w:val="000A31E0"/>
    <w:rsid w:val="000A3336"/>
    <w:rsid w:val="000A383A"/>
    <w:rsid w:val="000A3E48"/>
    <w:rsid w:val="000A3E63"/>
    <w:rsid w:val="000A3FA7"/>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86F"/>
    <w:rsid w:val="000A6871"/>
    <w:rsid w:val="000A6BEE"/>
    <w:rsid w:val="000A6CC7"/>
    <w:rsid w:val="000A6FDB"/>
    <w:rsid w:val="000A768D"/>
    <w:rsid w:val="000A7788"/>
    <w:rsid w:val="000A7854"/>
    <w:rsid w:val="000A79D0"/>
    <w:rsid w:val="000A7C83"/>
    <w:rsid w:val="000A7CC7"/>
    <w:rsid w:val="000A7DCB"/>
    <w:rsid w:val="000B06F6"/>
    <w:rsid w:val="000B0C10"/>
    <w:rsid w:val="000B1185"/>
    <w:rsid w:val="000B1789"/>
    <w:rsid w:val="000B1885"/>
    <w:rsid w:val="000B1E77"/>
    <w:rsid w:val="000B1F0B"/>
    <w:rsid w:val="000B23AA"/>
    <w:rsid w:val="000B264B"/>
    <w:rsid w:val="000B2899"/>
    <w:rsid w:val="000B297F"/>
    <w:rsid w:val="000B2BB9"/>
    <w:rsid w:val="000B2D48"/>
    <w:rsid w:val="000B2DDE"/>
    <w:rsid w:val="000B3220"/>
    <w:rsid w:val="000B326C"/>
    <w:rsid w:val="000B32D8"/>
    <w:rsid w:val="000B345D"/>
    <w:rsid w:val="000B3AEB"/>
    <w:rsid w:val="000B3B9C"/>
    <w:rsid w:val="000B3CFB"/>
    <w:rsid w:val="000B3DC6"/>
    <w:rsid w:val="000B3E51"/>
    <w:rsid w:val="000B3E6D"/>
    <w:rsid w:val="000B3F49"/>
    <w:rsid w:val="000B3FBC"/>
    <w:rsid w:val="000B4143"/>
    <w:rsid w:val="000B4166"/>
    <w:rsid w:val="000B430A"/>
    <w:rsid w:val="000B4639"/>
    <w:rsid w:val="000B4919"/>
    <w:rsid w:val="000B4AF3"/>
    <w:rsid w:val="000B4B1E"/>
    <w:rsid w:val="000B4B87"/>
    <w:rsid w:val="000B4CEB"/>
    <w:rsid w:val="000B4E4D"/>
    <w:rsid w:val="000B4E56"/>
    <w:rsid w:val="000B5359"/>
    <w:rsid w:val="000B5603"/>
    <w:rsid w:val="000B57F6"/>
    <w:rsid w:val="000B580A"/>
    <w:rsid w:val="000B58F7"/>
    <w:rsid w:val="000B5C96"/>
    <w:rsid w:val="000B5F01"/>
    <w:rsid w:val="000B5FAF"/>
    <w:rsid w:val="000B640A"/>
    <w:rsid w:val="000B66E2"/>
    <w:rsid w:val="000B6867"/>
    <w:rsid w:val="000B6A63"/>
    <w:rsid w:val="000B6D8C"/>
    <w:rsid w:val="000B6E31"/>
    <w:rsid w:val="000B7055"/>
    <w:rsid w:val="000B7708"/>
    <w:rsid w:val="000B7711"/>
    <w:rsid w:val="000B7998"/>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2FE0"/>
    <w:rsid w:val="000C301F"/>
    <w:rsid w:val="000C3374"/>
    <w:rsid w:val="000C37D8"/>
    <w:rsid w:val="000C386D"/>
    <w:rsid w:val="000C399F"/>
    <w:rsid w:val="000C3A18"/>
    <w:rsid w:val="000C4911"/>
    <w:rsid w:val="000C4D4C"/>
    <w:rsid w:val="000C4D6F"/>
    <w:rsid w:val="000C514D"/>
    <w:rsid w:val="000C531E"/>
    <w:rsid w:val="000C57DB"/>
    <w:rsid w:val="000C61C7"/>
    <w:rsid w:val="000C64D7"/>
    <w:rsid w:val="000C664A"/>
    <w:rsid w:val="000C66DB"/>
    <w:rsid w:val="000C6F23"/>
    <w:rsid w:val="000C76BA"/>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2C61"/>
    <w:rsid w:val="000D3086"/>
    <w:rsid w:val="000D331D"/>
    <w:rsid w:val="000D3522"/>
    <w:rsid w:val="000D3532"/>
    <w:rsid w:val="000D3545"/>
    <w:rsid w:val="000D38D0"/>
    <w:rsid w:val="000D3B33"/>
    <w:rsid w:val="000D3C17"/>
    <w:rsid w:val="000D3C7B"/>
    <w:rsid w:val="000D47B8"/>
    <w:rsid w:val="000D4CF0"/>
    <w:rsid w:val="000D4EFA"/>
    <w:rsid w:val="000D4FE7"/>
    <w:rsid w:val="000D516D"/>
    <w:rsid w:val="000D51C7"/>
    <w:rsid w:val="000D5971"/>
    <w:rsid w:val="000D5A6F"/>
    <w:rsid w:val="000D5F99"/>
    <w:rsid w:val="000D61E7"/>
    <w:rsid w:val="000D6577"/>
    <w:rsid w:val="000D6660"/>
    <w:rsid w:val="000D6701"/>
    <w:rsid w:val="000D6770"/>
    <w:rsid w:val="000D677F"/>
    <w:rsid w:val="000D6BB1"/>
    <w:rsid w:val="000D7547"/>
    <w:rsid w:val="000D75D4"/>
    <w:rsid w:val="000D76FF"/>
    <w:rsid w:val="000D774A"/>
    <w:rsid w:val="000D7C84"/>
    <w:rsid w:val="000E05FB"/>
    <w:rsid w:val="000E07A1"/>
    <w:rsid w:val="000E0973"/>
    <w:rsid w:val="000E0BB1"/>
    <w:rsid w:val="000E0CAE"/>
    <w:rsid w:val="000E0DE2"/>
    <w:rsid w:val="000E0E65"/>
    <w:rsid w:val="000E0F9F"/>
    <w:rsid w:val="000E10C6"/>
    <w:rsid w:val="000E1372"/>
    <w:rsid w:val="000E13F4"/>
    <w:rsid w:val="000E1567"/>
    <w:rsid w:val="000E16C6"/>
    <w:rsid w:val="000E18E0"/>
    <w:rsid w:val="000E1A81"/>
    <w:rsid w:val="000E1FDB"/>
    <w:rsid w:val="000E201C"/>
    <w:rsid w:val="000E20F6"/>
    <w:rsid w:val="000E2298"/>
    <w:rsid w:val="000E2457"/>
    <w:rsid w:val="000E2A6F"/>
    <w:rsid w:val="000E2B55"/>
    <w:rsid w:val="000E2B94"/>
    <w:rsid w:val="000E2D27"/>
    <w:rsid w:val="000E3022"/>
    <w:rsid w:val="000E35B8"/>
    <w:rsid w:val="000E3811"/>
    <w:rsid w:val="000E38EF"/>
    <w:rsid w:val="000E39CB"/>
    <w:rsid w:val="000E3BF5"/>
    <w:rsid w:val="000E3F24"/>
    <w:rsid w:val="000E4006"/>
    <w:rsid w:val="000E437B"/>
    <w:rsid w:val="000E451F"/>
    <w:rsid w:val="000E4622"/>
    <w:rsid w:val="000E4F29"/>
    <w:rsid w:val="000E4F35"/>
    <w:rsid w:val="000E57B3"/>
    <w:rsid w:val="000E5A19"/>
    <w:rsid w:val="000E5BA6"/>
    <w:rsid w:val="000E5CF4"/>
    <w:rsid w:val="000E66E8"/>
    <w:rsid w:val="000E67EA"/>
    <w:rsid w:val="000E7287"/>
    <w:rsid w:val="000E75F8"/>
    <w:rsid w:val="000E79A5"/>
    <w:rsid w:val="000E7B4F"/>
    <w:rsid w:val="000E7F63"/>
    <w:rsid w:val="000F0277"/>
    <w:rsid w:val="000F04C8"/>
    <w:rsid w:val="000F06D5"/>
    <w:rsid w:val="000F087E"/>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3C0C"/>
    <w:rsid w:val="000F4299"/>
    <w:rsid w:val="000F457C"/>
    <w:rsid w:val="000F4745"/>
    <w:rsid w:val="000F476D"/>
    <w:rsid w:val="000F479B"/>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1FC7"/>
    <w:rsid w:val="001020CE"/>
    <w:rsid w:val="00102120"/>
    <w:rsid w:val="001025D5"/>
    <w:rsid w:val="00102EBF"/>
    <w:rsid w:val="00102F89"/>
    <w:rsid w:val="00103013"/>
    <w:rsid w:val="00103064"/>
    <w:rsid w:val="0010323E"/>
    <w:rsid w:val="0010328F"/>
    <w:rsid w:val="00103329"/>
    <w:rsid w:val="00103424"/>
    <w:rsid w:val="00103BA9"/>
    <w:rsid w:val="00103BCF"/>
    <w:rsid w:val="001045B4"/>
    <w:rsid w:val="0010475C"/>
    <w:rsid w:val="00104776"/>
    <w:rsid w:val="00104D60"/>
    <w:rsid w:val="00105110"/>
    <w:rsid w:val="00105836"/>
    <w:rsid w:val="00105A35"/>
    <w:rsid w:val="00105CE8"/>
    <w:rsid w:val="00105D70"/>
    <w:rsid w:val="0010600B"/>
    <w:rsid w:val="001062A5"/>
    <w:rsid w:val="001067DA"/>
    <w:rsid w:val="0010699E"/>
    <w:rsid w:val="00106EA7"/>
    <w:rsid w:val="00106F7A"/>
    <w:rsid w:val="0010724E"/>
    <w:rsid w:val="001074A4"/>
    <w:rsid w:val="0010765F"/>
    <w:rsid w:val="00107667"/>
    <w:rsid w:val="00107753"/>
    <w:rsid w:val="00107D24"/>
    <w:rsid w:val="00107F9F"/>
    <w:rsid w:val="00110263"/>
    <w:rsid w:val="0011028E"/>
    <w:rsid w:val="0011084E"/>
    <w:rsid w:val="00110946"/>
    <w:rsid w:val="001109C2"/>
    <w:rsid w:val="00110D5D"/>
    <w:rsid w:val="00110DA3"/>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4CAD"/>
    <w:rsid w:val="00114CB8"/>
    <w:rsid w:val="001152AF"/>
    <w:rsid w:val="001152B7"/>
    <w:rsid w:val="0011588E"/>
    <w:rsid w:val="001158C6"/>
    <w:rsid w:val="00115A0B"/>
    <w:rsid w:val="00115C41"/>
    <w:rsid w:val="00115D9A"/>
    <w:rsid w:val="00115EBA"/>
    <w:rsid w:val="00115EC8"/>
    <w:rsid w:val="00115FBC"/>
    <w:rsid w:val="001160FE"/>
    <w:rsid w:val="0011624E"/>
    <w:rsid w:val="00116753"/>
    <w:rsid w:val="00116A2E"/>
    <w:rsid w:val="00116A78"/>
    <w:rsid w:val="001172D6"/>
    <w:rsid w:val="001172EE"/>
    <w:rsid w:val="00120075"/>
    <w:rsid w:val="001201CD"/>
    <w:rsid w:val="001208F9"/>
    <w:rsid w:val="00120D55"/>
    <w:rsid w:val="00121449"/>
    <w:rsid w:val="00121489"/>
    <w:rsid w:val="00121550"/>
    <w:rsid w:val="00121EFA"/>
    <w:rsid w:val="00122372"/>
    <w:rsid w:val="001223CB"/>
    <w:rsid w:val="001223FF"/>
    <w:rsid w:val="0012299E"/>
    <w:rsid w:val="001229B0"/>
    <w:rsid w:val="00122D48"/>
    <w:rsid w:val="00123064"/>
    <w:rsid w:val="00123090"/>
    <w:rsid w:val="001236E5"/>
    <w:rsid w:val="001239B0"/>
    <w:rsid w:val="00124252"/>
    <w:rsid w:val="001242E7"/>
    <w:rsid w:val="001245D9"/>
    <w:rsid w:val="00124AF0"/>
    <w:rsid w:val="00124D44"/>
    <w:rsid w:val="0012500A"/>
    <w:rsid w:val="0012501D"/>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0B50"/>
    <w:rsid w:val="00130D46"/>
    <w:rsid w:val="00130D50"/>
    <w:rsid w:val="00130EFE"/>
    <w:rsid w:val="001313ED"/>
    <w:rsid w:val="00131486"/>
    <w:rsid w:val="00131649"/>
    <w:rsid w:val="00131721"/>
    <w:rsid w:val="00131F4C"/>
    <w:rsid w:val="00132085"/>
    <w:rsid w:val="0013211D"/>
    <w:rsid w:val="001326D6"/>
    <w:rsid w:val="0013278C"/>
    <w:rsid w:val="00132985"/>
    <w:rsid w:val="00132EC3"/>
    <w:rsid w:val="00133746"/>
    <w:rsid w:val="00133802"/>
    <w:rsid w:val="00133A29"/>
    <w:rsid w:val="00133B17"/>
    <w:rsid w:val="00133E78"/>
    <w:rsid w:val="00134352"/>
    <w:rsid w:val="00134A84"/>
    <w:rsid w:val="00134EED"/>
    <w:rsid w:val="00134FBA"/>
    <w:rsid w:val="0013515B"/>
    <w:rsid w:val="0013549B"/>
    <w:rsid w:val="0013550A"/>
    <w:rsid w:val="001359C7"/>
    <w:rsid w:val="00135D19"/>
    <w:rsid w:val="00135E71"/>
    <w:rsid w:val="00135EE2"/>
    <w:rsid w:val="00135FFD"/>
    <w:rsid w:val="00136115"/>
    <w:rsid w:val="001362BD"/>
    <w:rsid w:val="0013634C"/>
    <w:rsid w:val="001366B2"/>
    <w:rsid w:val="00136B38"/>
    <w:rsid w:val="00136C33"/>
    <w:rsid w:val="00136DBA"/>
    <w:rsid w:val="00137878"/>
    <w:rsid w:val="001378CF"/>
    <w:rsid w:val="00137F1D"/>
    <w:rsid w:val="00137F1E"/>
    <w:rsid w:val="00140200"/>
    <w:rsid w:val="001404CE"/>
    <w:rsid w:val="00140812"/>
    <w:rsid w:val="00140AD4"/>
    <w:rsid w:val="00140BA3"/>
    <w:rsid w:val="00140BE1"/>
    <w:rsid w:val="001410B8"/>
    <w:rsid w:val="00141DCC"/>
    <w:rsid w:val="00141FBF"/>
    <w:rsid w:val="00142018"/>
    <w:rsid w:val="0014226E"/>
    <w:rsid w:val="00142BE5"/>
    <w:rsid w:val="00143368"/>
    <w:rsid w:val="00143602"/>
    <w:rsid w:val="0014368D"/>
    <w:rsid w:val="00143AF9"/>
    <w:rsid w:val="00143BEA"/>
    <w:rsid w:val="00143DE1"/>
    <w:rsid w:val="00144132"/>
    <w:rsid w:val="00144633"/>
    <w:rsid w:val="001446B2"/>
    <w:rsid w:val="001448D2"/>
    <w:rsid w:val="00144DCD"/>
    <w:rsid w:val="00144E2E"/>
    <w:rsid w:val="00145080"/>
    <w:rsid w:val="001451B9"/>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0E0F"/>
    <w:rsid w:val="00151042"/>
    <w:rsid w:val="001510F2"/>
    <w:rsid w:val="00151275"/>
    <w:rsid w:val="0015139E"/>
    <w:rsid w:val="001514F3"/>
    <w:rsid w:val="0015190D"/>
    <w:rsid w:val="001519F1"/>
    <w:rsid w:val="00151A3E"/>
    <w:rsid w:val="00151A6A"/>
    <w:rsid w:val="001520C2"/>
    <w:rsid w:val="00152BC2"/>
    <w:rsid w:val="001533EF"/>
    <w:rsid w:val="00153B7C"/>
    <w:rsid w:val="00153BC6"/>
    <w:rsid w:val="00153DF5"/>
    <w:rsid w:val="00154127"/>
    <w:rsid w:val="001541F9"/>
    <w:rsid w:val="00154335"/>
    <w:rsid w:val="00154832"/>
    <w:rsid w:val="00154CF7"/>
    <w:rsid w:val="001552CF"/>
    <w:rsid w:val="0015579D"/>
    <w:rsid w:val="00155FCA"/>
    <w:rsid w:val="001562EE"/>
    <w:rsid w:val="001562FC"/>
    <w:rsid w:val="001565DF"/>
    <w:rsid w:val="001565ED"/>
    <w:rsid w:val="0015671A"/>
    <w:rsid w:val="001571AA"/>
    <w:rsid w:val="00157722"/>
    <w:rsid w:val="0015780C"/>
    <w:rsid w:val="00157DD5"/>
    <w:rsid w:val="00157E60"/>
    <w:rsid w:val="00157EC6"/>
    <w:rsid w:val="00160805"/>
    <w:rsid w:val="001608C2"/>
    <w:rsid w:val="0016092F"/>
    <w:rsid w:val="001609D7"/>
    <w:rsid w:val="00160CAA"/>
    <w:rsid w:val="00160EA4"/>
    <w:rsid w:val="00161123"/>
    <w:rsid w:val="00161215"/>
    <w:rsid w:val="001614DF"/>
    <w:rsid w:val="00161527"/>
    <w:rsid w:val="001615D5"/>
    <w:rsid w:val="001616EE"/>
    <w:rsid w:val="00161952"/>
    <w:rsid w:val="00161995"/>
    <w:rsid w:val="00161C49"/>
    <w:rsid w:val="00161D45"/>
    <w:rsid w:val="00161FFA"/>
    <w:rsid w:val="00162009"/>
    <w:rsid w:val="00162645"/>
    <w:rsid w:val="00162807"/>
    <w:rsid w:val="0016287B"/>
    <w:rsid w:val="00162B15"/>
    <w:rsid w:val="001630F6"/>
    <w:rsid w:val="001631BC"/>
    <w:rsid w:val="00163283"/>
    <w:rsid w:val="00163683"/>
    <w:rsid w:val="001637BC"/>
    <w:rsid w:val="00163D5E"/>
    <w:rsid w:val="00163DC9"/>
    <w:rsid w:val="00164148"/>
    <w:rsid w:val="001641F8"/>
    <w:rsid w:val="001647E6"/>
    <w:rsid w:val="001649CA"/>
    <w:rsid w:val="00164D11"/>
    <w:rsid w:val="00164E6F"/>
    <w:rsid w:val="00165656"/>
    <w:rsid w:val="00165B47"/>
    <w:rsid w:val="00165CEA"/>
    <w:rsid w:val="00165E94"/>
    <w:rsid w:val="00166161"/>
    <w:rsid w:val="00166498"/>
    <w:rsid w:val="00166669"/>
    <w:rsid w:val="00166E52"/>
    <w:rsid w:val="00166F83"/>
    <w:rsid w:val="00166F9A"/>
    <w:rsid w:val="00167128"/>
    <w:rsid w:val="0016758C"/>
    <w:rsid w:val="0016763A"/>
    <w:rsid w:val="00167AE8"/>
    <w:rsid w:val="00167B28"/>
    <w:rsid w:val="00167D01"/>
    <w:rsid w:val="0017026D"/>
    <w:rsid w:val="0017055F"/>
    <w:rsid w:val="00170897"/>
    <w:rsid w:val="001709C1"/>
    <w:rsid w:val="00170D9F"/>
    <w:rsid w:val="00171038"/>
    <w:rsid w:val="0017106B"/>
    <w:rsid w:val="0017173C"/>
    <w:rsid w:val="0017178F"/>
    <w:rsid w:val="001717C2"/>
    <w:rsid w:val="00171B43"/>
    <w:rsid w:val="00171EC4"/>
    <w:rsid w:val="00171FAF"/>
    <w:rsid w:val="001720E2"/>
    <w:rsid w:val="00172118"/>
    <w:rsid w:val="00172150"/>
    <w:rsid w:val="0017250C"/>
    <w:rsid w:val="00172981"/>
    <w:rsid w:val="00173029"/>
    <w:rsid w:val="00173212"/>
    <w:rsid w:val="001732DF"/>
    <w:rsid w:val="00173776"/>
    <w:rsid w:val="001738AC"/>
    <w:rsid w:val="00173A3B"/>
    <w:rsid w:val="00173C7C"/>
    <w:rsid w:val="00173E26"/>
    <w:rsid w:val="0017407B"/>
    <w:rsid w:val="001740B6"/>
    <w:rsid w:val="001742A0"/>
    <w:rsid w:val="0017480E"/>
    <w:rsid w:val="001748BE"/>
    <w:rsid w:val="00174BBE"/>
    <w:rsid w:val="00174F20"/>
    <w:rsid w:val="00174F87"/>
    <w:rsid w:val="00174F8D"/>
    <w:rsid w:val="00175133"/>
    <w:rsid w:val="001752E6"/>
    <w:rsid w:val="001753CC"/>
    <w:rsid w:val="00175586"/>
    <w:rsid w:val="001757A7"/>
    <w:rsid w:val="00175B39"/>
    <w:rsid w:val="0017601F"/>
    <w:rsid w:val="0017605A"/>
    <w:rsid w:val="00176083"/>
    <w:rsid w:val="0017637B"/>
    <w:rsid w:val="00176502"/>
    <w:rsid w:val="00176721"/>
    <w:rsid w:val="00176883"/>
    <w:rsid w:val="00176A0A"/>
    <w:rsid w:val="00176D3F"/>
    <w:rsid w:val="00176D4A"/>
    <w:rsid w:val="00176F37"/>
    <w:rsid w:val="00177188"/>
    <w:rsid w:val="00177D68"/>
    <w:rsid w:val="00177F2F"/>
    <w:rsid w:val="001804C5"/>
    <w:rsid w:val="00180795"/>
    <w:rsid w:val="00180A37"/>
    <w:rsid w:val="00180B91"/>
    <w:rsid w:val="00180BDB"/>
    <w:rsid w:val="00180D02"/>
    <w:rsid w:val="00180E22"/>
    <w:rsid w:val="00180E40"/>
    <w:rsid w:val="00180F7D"/>
    <w:rsid w:val="0018105C"/>
    <w:rsid w:val="00181DD2"/>
    <w:rsid w:val="001823F6"/>
    <w:rsid w:val="001824A8"/>
    <w:rsid w:val="00182605"/>
    <w:rsid w:val="0018277D"/>
    <w:rsid w:val="00182BF1"/>
    <w:rsid w:val="00182D34"/>
    <w:rsid w:val="00182FAF"/>
    <w:rsid w:val="00182FEA"/>
    <w:rsid w:val="00183984"/>
    <w:rsid w:val="00184D0F"/>
    <w:rsid w:val="00184DCF"/>
    <w:rsid w:val="00184FED"/>
    <w:rsid w:val="001857E6"/>
    <w:rsid w:val="0018590D"/>
    <w:rsid w:val="00185B94"/>
    <w:rsid w:val="00186265"/>
    <w:rsid w:val="001863E1"/>
    <w:rsid w:val="001865A8"/>
    <w:rsid w:val="001866D2"/>
    <w:rsid w:val="00186BD0"/>
    <w:rsid w:val="00186CD5"/>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80"/>
    <w:rsid w:val="00191DFF"/>
    <w:rsid w:val="00191EAF"/>
    <w:rsid w:val="00191EED"/>
    <w:rsid w:val="00192101"/>
    <w:rsid w:val="0019225F"/>
    <w:rsid w:val="001925DB"/>
    <w:rsid w:val="00192A24"/>
    <w:rsid w:val="0019331C"/>
    <w:rsid w:val="001933D6"/>
    <w:rsid w:val="001936C2"/>
    <w:rsid w:val="001936EA"/>
    <w:rsid w:val="00193866"/>
    <w:rsid w:val="001938B3"/>
    <w:rsid w:val="001938EA"/>
    <w:rsid w:val="00193C22"/>
    <w:rsid w:val="00193F43"/>
    <w:rsid w:val="001941B1"/>
    <w:rsid w:val="001941D0"/>
    <w:rsid w:val="001941EE"/>
    <w:rsid w:val="00194267"/>
    <w:rsid w:val="00194333"/>
    <w:rsid w:val="00194596"/>
    <w:rsid w:val="001946A1"/>
    <w:rsid w:val="00194923"/>
    <w:rsid w:val="00194A03"/>
    <w:rsid w:val="00194F17"/>
    <w:rsid w:val="001952A0"/>
    <w:rsid w:val="00195334"/>
    <w:rsid w:val="00195653"/>
    <w:rsid w:val="00195C64"/>
    <w:rsid w:val="00195E8E"/>
    <w:rsid w:val="001962AC"/>
    <w:rsid w:val="001965A2"/>
    <w:rsid w:val="0019685A"/>
    <w:rsid w:val="00196CD8"/>
    <w:rsid w:val="00196D8D"/>
    <w:rsid w:val="00196D9A"/>
    <w:rsid w:val="00196DA5"/>
    <w:rsid w:val="001972DF"/>
    <w:rsid w:val="0019737B"/>
    <w:rsid w:val="0019753B"/>
    <w:rsid w:val="001976BD"/>
    <w:rsid w:val="0019793B"/>
    <w:rsid w:val="00197AE6"/>
    <w:rsid w:val="00197B93"/>
    <w:rsid w:val="001A0003"/>
    <w:rsid w:val="001A023D"/>
    <w:rsid w:val="001A047F"/>
    <w:rsid w:val="001A050D"/>
    <w:rsid w:val="001A0631"/>
    <w:rsid w:val="001A07A8"/>
    <w:rsid w:val="001A0959"/>
    <w:rsid w:val="001A0BF5"/>
    <w:rsid w:val="001A13E3"/>
    <w:rsid w:val="001A13ED"/>
    <w:rsid w:val="001A1404"/>
    <w:rsid w:val="001A1A90"/>
    <w:rsid w:val="001A1BC0"/>
    <w:rsid w:val="001A2244"/>
    <w:rsid w:val="001A23CA"/>
    <w:rsid w:val="001A23CF"/>
    <w:rsid w:val="001A257A"/>
    <w:rsid w:val="001A260C"/>
    <w:rsid w:val="001A2771"/>
    <w:rsid w:val="001A28E8"/>
    <w:rsid w:val="001A2BC2"/>
    <w:rsid w:val="001A2DE6"/>
    <w:rsid w:val="001A2F9D"/>
    <w:rsid w:val="001A33A4"/>
    <w:rsid w:val="001A37A0"/>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9AF"/>
    <w:rsid w:val="001A5E89"/>
    <w:rsid w:val="001A5F56"/>
    <w:rsid w:val="001A60E6"/>
    <w:rsid w:val="001A60EF"/>
    <w:rsid w:val="001A6774"/>
    <w:rsid w:val="001A67C9"/>
    <w:rsid w:val="001A70A4"/>
    <w:rsid w:val="001A734C"/>
    <w:rsid w:val="001A7987"/>
    <w:rsid w:val="001A7AB0"/>
    <w:rsid w:val="001A7BC3"/>
    <w:rsid w:val="001A7E34"/>
    <w:rsid w:val="001B002F"/>
    <w:rsid w:val="001B0031"/>
    <w:rsid w:val="001B01AE"/>
    <w:rsid w:val="001B0440"/>
    <w:rsid w:val="001B0893"/>
    <w:rsid w:val="001B0B00"/>
    <w:rsid w:val="001B135C"/>
    <w:rsid w:val="001B1554"/>
    <w:rsid w:val="001B18C6"/>
    <w:rsid w:val="001B1A33"/>
    <w:rsid w:val="001B1BE3"/>
    <w:rsid w:val="001B1DE6"/>
    <w:rsid w:val="001B1E6D"/>
    <w:rsid w:val="001B1EAC"/>
    <w:rsid w:val="001B1ED5"/>
    <w:rsid w:val="001B2058"/>
    <w:rsid w:val="001B21F3"/>
    <w:rsid w:val="001B21FB"/>
    <w:rsid w:val="001B222E"/>
    <w:rsid w:val="001B23A6"/>
    <w:rsid w:val="001B25D2"/>
    <w:rsid w:val="001B25F2"/>
    <w:rsid w:val="001B28D9"/>
    <w:rsid w:val="001B31E1"/>
    <w:rsid w:val="001B3201"/>
    <w:rsid w:val="001B3216"/>
    <w:rsid w:val="001B327A"/>
    <w:rsid w:val="001B354D"/>
    <w:rsid w:val="001B3604"/>
    <w:rsid w:val="001B3744"/>
    <w:rsid w:val="001B3B5A"/>
    <w:rsid w:val="001B3B97"/>
    <w:rsid w:val="001B3EC6"/>
    <w:rsid w:val="001B4557"/>
    <w:rsid w:val="001B4576"/>
    <w:rsid w:val="001B487D"/>
    <w:rsid w:val="001B48AF"/>
    <w:rsid w:val="001B4B8D"/>
    <w:rsid w:val="001B4D89"/>
    <w:rsid w:val="001B50F1"/>
    <w:rsid w:val="001B5181"/>
    <w:rsid w:val="001B5310"/>
    <w:rsid w:val="001B5417"/>
    <w:rsid w:val="001B5BB4"/>
    <w:rsid w:val="001B5DCE"/>
    <w:rsid w:val="001B62CD"/>
    <w:rsid w:val="001B6569"/>
    <w:rsid w:val="001B67A3"/>
    <w:rsid w:val="001B6B76"/>
    <w:rsid w:val="001B70AF"/>
    <w:rsid w:val="001B70CF"/>
    <w:rsid w:val="001B70FF"/>
    <w:rsid w:val="001B7644"/>
    <w:rsid w:val="001B7738"/>
    <w:rsid w:val="001B7C89"/>
    <w:rsid w:val="001C03E9"/>
    <w:rsid w:val="001C0E78"/>
    <w:rsid w:val="001C108A"/>
    <w:rsid w:val="001C13C2"/>
    <w:rsid w:val="001C1905"/>
    <w:rsid w:val="001C19B0"/>
    <w:rsid w:val="001C1C1A"/>
    <w:rsid w:val="001C1F7B"/>
    <w:rsid w:val="001C22F4"/>
    <w:rsid w:val="001C2519"/>
    <w:rsid w:val="001C2679"/>
    <w:rsid w:val="001C285F"/>
    <w:rsid w:val="001C29C3"/>
    <w:rsid w:val="001C2B73"/>
    <w:rsid w:val="001C2D7F"/>
    <w:rsid w:val="001C2E83"/>
    <w:rsid w:val="001C30BF"/>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C7C81"/>
    <w:rsid w:val="001D045A"/>
    <w:rsid w:val="001D04EC"/>
    <w:rsid w:val="001D0572"/>
    <w:rsid w:val="001D0632"/>
    <w:rsid w:val="001D0885"/>
    <w:rsid w:val="001D08C4"/>
    <w:rsid w:val="001D0D1D"/>
    <w:rsid w:val="001D0F66"/>
    <w:rsid w:val="001D10CC"/>
    <w:rsid w:val="001D1B8B"/>
    <w:rsid w:val="001D1D2E"/>
    <w:rsid w:val="001D1DED"/>
    <w:rsid w:val="001D2B37"/>
    <w:rsid w:val="001D31D2"/>
    <w:rsid w:val="001D354F"/>
    <w:rsid w:val="001D3846"/>
    <w:rsid w:val="001D3A5A"/>
    <w:rsid w:val="001D3B2D"/>
    <w:rsid w:val="001D4035"/>
    <w:rsid w:val="001D40E6"/>
    <w:rsid w:val="001D43B8"/>
    <w:rsid w:val="001D476D"/>
    <w:rsid w:val="001D4BD8"/>
    <w:rsid w:val="001D4DC4"/>
    <w:rsid w:val="001D4EB7"/>
    <w:rsid w:val="001D52BF"/>
    <w:rsid w:val="001D558E"/>
    <w:rsid w:val="001D57E9"/>
    <w:rsid w:val="001D58AF"/>
    <w:rsid w:val="001D5949"/>
    <w:rsid w:val="001D597F"/>
    <w:rsid w:val="001D5C59"/>
    <w:rsid w:val="001D5DC1"/>
    <w:rsid w:val="001D5F62"/>
    <w:rsid w:val="001D67A1"/>
    <w:rsid w:val="001D67BF"/>
    <w:rsid w:val="001D6C06"/>
    <w:rsid w:val="001D6D30"/>
    <w:rsid w:val="001D6EA0"/>
    <w:rsid w:val="001D7451"/>
    <w:rsid w:val="001D74E0"/>
    <w:rsid w:val="001D75DA"/>
    <w:rsid w:val="001D7991"/>
    <w:rsid w:val="001D7A39"/>
    <w:rsid w:val="001D7DF5"/>
    <w:rsid w:val="001D7EA2"/>
    <w:rsid w:val="001E034C"/>
    <w:rsid w:val="001E0566"/>
    <w:rsid w:val="001E05C9"/>
    <w:rsid w:val="001E064C"/>
    <w:rsid w:val="001E0A2E"/>
    <w:rsid w:val="001E0AE6"/>
    <w:rsid w:val="001E0CEC"/>
    <w:rsid w:val="001E0D5D"/>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98C"/>
    <w:rsid w:val="001E39BA"/>
    <w:rsid w:val="001E3AF1"/>
    <w:rsid w:val="001E3D06"/>
    <w:rsid w:val="001E3F6A"/>
    <w:rsid w:val="001E4342"/>
    <w:rsid w:val="001E46F4"/>
    <w:rsid w:val="001E4975"/>
    <w:rsid w:val="001E4F61"/>
    <w:rsid w:val="001E5BBF"/>
    <w:rsid w:val="001E5DC0"/>
    <w:rsid w:val="001E5EBB"/>
    <w:rsid w:val="001E6431"/>
    <w:rsid w:val="001E672B"/>
    <w:rsid w:val="001E68E1"/>
    <w:rsid w:val="001E6AA2"/>
    <w:rsid w:val="001E6B63"/>
    <w:rsid w:val="001E6F31"/>
    <w:rsid w:val="001E7135"/>
    <w:rsid w:val="001E7223"/>
    <w:rsid w:val="001E73BE"/>
    <w:rsid w:val="001E76AE"/>
    <w:rsid w:val="001E7959"/>
    <w:rsid w:val="001E7996"/>
    <w:rsid w:val="001E7AD8"/>
    <w:rsid w:val="001E7C63"/>
    <w:rsid w:val="001E7C86"/>
    <w:rsid w:val="001E7CEB"/>
    <w:rsid w:val="001F005A"/>
    <w:rsid w:val="001F01CE"/>
    <w:rsid w:val="001F02DB"/>
    <w:rsid w:val="001F0368"/>
    <w:rsid w:val="001F03E4"/>
    <w:rsid w:val="001F04E0"/>
    <w:rsid w:val="001F05C2"/>
    <w:rsid w:val="001F1215"/>
    <w:rsid w:val="001F1311"/>
    <w:rsid w:val="001F1408"/>
    <w:rsid w:val="001F188B"/>
    <w:rsid w:val="001F1F78"/>
    <w:rsid w:val="001F2370"/>
    <w:rsid w:val="001F2CAE"/>
    <w:rsid w:val="001F309E"/>
    <w:rsid w:val="001F3103"/>
    <w:rsid w:val="001F31B5"/>
    <w:rsid w:val="001F32F9"/>
    <w:rsid w:val="001F3739"/>
    <w:rsid w:val="001F41EA"/>
    <w:rsid w:val="001F42D9"/>
    <w:rsid w:val="001F4497"/>
    <w:rsid w:val="001F497B"/>
    <w:rsid w:val="001F4A0B"/>
    <w:rsid w:val="001F4ABA"/>
    <w:rsid w:val="001F50E9"/>
    <w:rsid w:val="001F5410"/>
    <w:rsid w:val="001F54A7"/>
    <w:rsid w:val="001F5659"/>
    <w:rsid w:val="001F56DC"/>
    <w:rsid w:val="001F585F"/>
    <w:rsid w:val="001F59B9"/>
    <w:rsid w:val="001F5A6A"/>
    <w:rsid w:val="001F5AB1"/>
    <w:rsid w:val="001F5D86"/>
    <w:rsid w:val="001F5E7C"/>
    <w:rsid w:val="001F64FF"/>
    <w:rsid w:val="001F650D"/>
    <w:rsid w:val="001F691A"/>
    <w:rsid w:val="001F6995"/>
    <w:rsid w:val="001F6E01"/>
    <w:rsid w:val="001F6FDB"/>
    <w:rsid w:val="001F7003"/>
    <w:rsid w:val="001F71A1"/>
    <w:rsid w:val="001F7465"/>
    <w:rsid w:val="001F7521"/>
    <w:rsid w:val="001F792C"/>
    <w:rsid w:val="001F7B7C"/>
    <w:rsid w:val="002003B0"/>
    <w:rsid w:val="002007AF"/>
    <w:rsid w:val="0020091E"/>
    <w:rsid w:val="00200DF2"/>
    <w:rsid w:val="00201545"/>
    <w:rsid w:val="002016BA"/>
    <w:rsid w:val="00201953"/>
    <w:rsid w:val="002019F0"/>
    <w:rsid w:val="00201B31"/>
    <w:rsid w:val="00201BC5"/>
    <w:rsid w:val="00201C5A"/>
    <w:rsid w:val="002020B1"/>
    <w:rsid w:val="002021F6"/>
    <w:rsid w:val="002024F6"/>
    <w:rsid w:val="002029CF"/>
    <w:rsid w:val="00202AFF"/>
    <w:rsid w:val="00202C21"/>
    <w:rsid w:val="00202C26"/>
    <w:rsid w:val="00202F3D"/>
    <w:rsid w:val="002030D3"/>
    <w:rsid w:val="0020312A"/>
    <w:rsid w:val="0020325C"/>
    <w:rsid w:val="00203539"/>
    <w:rsid w:val="00203C8B"/>
    <w:rsid w:val="00203F48"/>
    <w:rsid w:val="0020436D"/>
    <w:rsid w:val="00204B42"/>
    <w:rsid w:val="00204B76"/>
    <w:rsid w:val="00204B85"/>
    <w:rsid w:val="00204BA4"/>
    <w:rsid w:val="00204DE1"/>
    <w:rsid w:val="00205260"/>
    <w:rsid w:val="0020538F"/>
    <w:rsid w:val="002056B2"/>
    <w:rsid w:val="00205A7C"/>
    <w:rsid w:val="00205B70"/>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7E4"/>
    <w:rsid w:val="00210B84"/>
    <w:rsid w:val="00211193"/>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80F"/>
    <w:rsid w:val="00215EA8"/>
    <w:rsid w:val="002163F6"/>
    <w:rsid w:val="00216513"/>
    <w:rsid w:val="002166B6"/>
    <w:rsid w:val="002167B2"/>
    <w:rsid w:val="00216A74"/>
    <w:rsid w:val="00216C7C"/>
    <w:rsid w:val="002172E6"/>
    <w:rsid w:val="00217383"/>
    <w:rsid w:val="00217397"/>
    <w:rsid w:val="002176C0"/>
    <w:rsid w:val="0021771C"/>
    <w:rsid w:val="0021792B"/>
    <w:rsid w:val="00217FC1"/>
    <w:rsid w:val="00220012"/>
    <w:rsid w:val="002200F1"/>
    <w:rsid w:val="00220195"/>
    <w:rsid w:val="002206BF"/>
    <w:rsid w:val="00220704"/>
    <w:rsid w:val="00220A9C"/>
    <w:rsid w:val="00220C1E"/>
    <w:rsid w:val="00221016"/>
    <w:rsid w:val="00221522"/>
    <w:rsid w:val="00221585"/>
    <w:rsid w:val="002218AA"/>
    <w:rsid w:val="00221943"/>
    <w:rsid w:val="00221E07"/>
    <w:rsid w:val="00221E98"/>
    <w:rsid w:val="00221F75"/>
    <w:rsid w:val="00221FAB"/>
    <w:rsid w:val="00222003"/>
    <w:rsid w:val="00222376"/>
    <w:rsid w:val="002224C4"/>
    <w:rsid w:val="002225E4"/>
    <w:rsid w:val="00222684"/>
    <w:rsid w:val="00222691"/>
    <w:rsid w:val="00222857"/>
    <w:rsid w:val="002228CE"/>
    <w:rsid w:val="00222D7E"/>
    <w:rsid w:val="0022303A"/>
    <w:rsid w:val="00223938"/>
    <w:rsid w:val="00223A23"/>
    <w:rsid w:val="00223C6C"/>
    <w:rsid w:val="00223DEB"/>
    <w:rsid w:val="0022408C"/>
    <w:rsid w:val="00224213"/>
    <w:rsid w:val="00224DE7"/>
    <w:rsid w:val="0022548D"/>
    <w:rsid w:val="00225560"/>
    <w:rsid w:val="002255ED"/>
    <w:rsid w:val="00225A86"/>
    <w:rsid w:val="00225BF6"/>
    <w:rsid w:val="00226137"/>
    <w:rsid w:val="00226279"/>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249"/>
    <w:rsid w:val="0023125E"/>
    <w:rsid w:val="002313F6"/>
    <w:rsid w:val="002315C7"/>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2DDB"/>
    <w:rsid w:val="00232DE0"/>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291"/>
    <w:rsid w:val="00236606"/>
    <w:rsid w:val="002368EC"/>
    <w:rsid w:val="00236E6F"/>
    <w:rsid w:val="002371FA"/>
    <w:rsid w:val="0023726C"/>
    <w:rsid w:val="00237374"/>
    <w:rsid w:val="002374B8"/>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842"/>
    <w:rsid w:val="0024297D"/>
    <w:rsid w:val="00242A0B"/>
    <w:rsid w:val="00242DAE"/>
    <w:rsid w:val="002434B4"/>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769"/>
    <w:rsid w:val="00246B1A"/>
    <w:rsid w:val="00246E5A"/>
    <w:rsid w:val="002470DC"/>
    <w:rsid w:val="00247140"/>
    <w:rsid w:val="00247197"/>
    <w:rsid w:val="00247204"/>
    <w:rsid w:val="0024736F"/>
    <w:rsid w:val="00247735"/>
    <w:rsid w:val="00247739"/>
    <w:rsid w:val="00247D24"/>
    <w:rsid w:val="00247DE3"/>
    <w:rsid w:val="00247FC3"/>
    <w:rsid w:val="0025006F"/>
    <w:rsid w:val="002500A0"/>
    <w:rsid w:val="00250364"/>
    <w:rsid w:val="00250478"/>
    <w:rsid w:val="0025050F"/>
    <w:rsid w:val="00250A10"/>
    <w:rsid w:val="00250A4E"/>
    <w:rsid w:val="002516D3"/>
    <w:rsid w:val="00251809"/>
    <w:rsid w:val="0025206F"/>
    <w:rsid w:val="002520E3"/>
    <w:rsid w:val="0025211C"/>
    <w:rsid w:val="002526F0"/>
    <w:rsid w:val="00252AEB"/>
    <w:rsid w:val="00252BAE"/>
    <w:rsid w:val="00253099"/>
    <w:rsid w:val="0025319B"/>
    <w:rsid w:val="002532C9"/>
    <w:rsid w:val="002532D2"/>
    <w:rsid w:val="00253513"/>
    <w:rsid w:val="00253806"/>
    <w:rsid w:val="00253C4F"/>
    <w:rsid w:val="00253EA5"/>
    <w:rsid w:val="0025408D"/>
    <w:rsid w:val="00254197"/>
    <w:rsid w:val="00254366"/>
    <w:rsid w:val="00254A6E"/>
    <w:rsid w:val="00254AAC"/>
    <w:rsid w:val="00254DCC"/>
    <w:rsid w:val="00254E33"/>
    <w:rsid w:val="00255061"/>
    <w:rsid w:val="002551C6"/>
    <w:rsid w:val="002553DD"/>
    <w:rsid w:val="00255559"/>
    <w:rsid w:val="002557E2"/>
    <w:rsid w:val="002557F8"/>
    <w:rsid w:val="002559D1"/>
    <w:rsid w:val="00255B7F"/>
    <w:rsid w:val="00255CBD"/>
    <w:rsid w:val="00255D6B"/>
    <w:rsid w:val="00255DE2"/>
    <w:rsid w:val="0025619F"/>
    <w:rsid w:val="00256663"/>
    <w:rsid w:val="00256835"/>
    <w:rsid w:val="00257241"/>
    <w:rsid w:val="00257AA0"/>
    <w:rsid w:val="00260352"/>
    <w:rsid w:val="0026040C"/>
    <w:rsid w:val="00260471"/>
    <w:rsid w:val="00260560"/>
    <w:rsid w:val="00260634"/>
    <w:rsid w:val="00260E13"/>
    <w:rsid w:val="00261012"/>
    <w:rsid w:val="00261120"/>
    <w:rsid w:val="0026151A"/>
    <w:rsid w:val="00261522"/>
    <w:rsid w:val="00261763"/>
    <w:rsid w:val="00261BFD"/>
    <w:rsid w:val="00261CC3"/>
    <w:rsid w:val="00261D09"/>
    <w:rsid w:val="00262943"/>
    <w:rsid w:val="002629AF"/>
    <w:rsid w:val="00262AA8"/>
    <w:rsid w:val="00262BC0"/>
    <w:rsid w:val="0026301E"/>
    <w:rsid w:val="00263563"/>
    <w:rsid w:val="002637B3"/>
    <w:rsid w:val="00263B41"/>
    <w:rsid w:val="00263CDE"/>
    <w:rsid w:val="00263E1B"/>
    <w:rsid w:val="00263EF7"/>
    <w:rsid w:val="00263FCA"/>
    <w:rsid w:val="002640FA"/>
    <w:rsid w:val="00264274"/>
    <w:rsid w:val="00264681"/>
    <w:rsid w:val="00264894"/>
    <w:rsid w:val="002648AE"/>
    <w:rsid w:val="00264BA9"/>
    <w:rsid w:val="00264BD8"/>
    <w:rsid w:val="00264BF1"/>
    <w:rsid w:val="00264D00"/>
    <w:rsid w:val="00264E8B"/>
    <w:rsid w:val="002653BB"/>
    <w:rsid w:val="0026557C"/>
    <w:rsid w:val="0026569C"/>
    <w:rsid w:val="002664CD"/>
    <w:rsid w:val="00266868"/>
    <w:rsid w:val="002668B2"/>
    <w:rsid w:val="00266C7A"/>
    <w:rsid w:val="00266CE0"/>
    <w:rsid w:val="00267157"/>
    <w:rsid w:val="0026715B"/>
    <w:rsid w:val="00267363"/>
    <w:rsid w:val="0026742B"/>
    <w:rsid w:val="002676D9"/>
    <w:rsid w:val="00267C06"/>
    <w:rsid w:val="00267D0E"/>
    <w:rsid w:val="00267D11"/>
    <w:rsid w:val="00270035"/>
    <w:rsid w:val="00270055"/>
    <w:rsid w:val="00270401"/>
    <w:rsid w:val="00270469"/>
    <w:rsid w:val="002704B9"/>
    <w:rsid w:val="0027052F"/>
    <w:rsid w:val="002705F9"/>
    <w:rsid w:val="00270961"/>
    <w:rsid w:val="00270CF1"/>
    <w:rsid w:val="00271649"/>
    <w:rsid w:val="0027174D"/>
    <w:rsid w:val="00271831"/>
    <w:rsid w:val="002719C9"/>
    <w:rsid w:val="00272865"/>
    <w:rsid w:val="00272AAC"/>
    <w:rsid w:val="00272E35"/>
    <w:rsid w:val="002731BB"/>
    <w:rsid w:val="0027326C"/>
    <w:rsid w:val="00273521"/>
    <w:rsid w:val="00273802"/>
    <w:rsid w:val="00273AEC"/>
    <w:rsid w:val="00273BDC"/>
    <w:rsid w:val="00274DB6"/>
    <w:rsid w:val="00275079"/>
    <w:rsid w:val="002750AE"/>
    <w:rsid w:val="0027528F"/>
    <w:rsid w:val="002752D0"/>
    <w:rsid w:val="00275915"/>
    <w:rsid w:val="00275A9F"/>
    <w:rsid w:val="00275ED6"/>
    <w:rsid w:val="00275F30"/>
    <w:rsid w:val="0027604C"/>
    <w:rsid w:val="002765D6"/>
    <w:rsid w:val="00276A1A"/>
    <w:rsid w:val="00276D89"/>
    <w:rsid w:val="00277079"/>
    <w:rsid w:val="00277438"/>
    <w:rsid w:val="00277484"/>
    <w:rsid w:val="002776B6"/>
    <w:rsid w:val="002776C9"/>
    <w:rsid w:val="00277C18"/>
    <w:rsid w:val="002802F3"/>
    <w:rsid w:val="00280321"/>
    <w:rsid w:val="00280345"/>
    <w:rsid w:val="00280417"/>
    <w:rsid w:val="00280932"/>
    <w:rsid w:val="0028133F"/>
    <w:rsid w:val="002813B2"/>
    <w:rsid w:val="0028146A"/>
    <w:rsid w:val="0028149D"/>
    <w:rsid w:val="0028182E"/>
    <w:rsid w:val="00281FF7"/>
    <w:rsid w:val="00282050"/>
    <w:rsid w:val="00282482"/>
    <w:rsid w:val="002824E8"/>
    <w:rsid w:val="00282754"/>
    <w:rsid w:val="002829AC"/>
    <w:rsid w:val="00282AEE"/>
    <w:rsid w:val="00282CA1"/>
    <w:rsid w:val="00282E30"/>
    <w:rsid w:val="00283469"/>
    <w:rsid w:val="002836BE"/>
    <w:rsid w:val="00283993"/>
    <w:rsid w:val="002839EE"/>
    <w:rsid w:val="00283A70"/>
    <w:rsid w:val="00283DFF"/>
    <w:rsid w:val="0028400C"/>
    <w:rsid w:val="0028406F"/>
    <w:rsid w:val="002842B4"/>
    <w:rsid w:val="00284360"/>
    <w:rsid w:val="0028495A"/>
    <w:rsid w:val="00284B63"/>
    <w:rsid w:val="00285015"/>
    <w:rsid w:val="002851E3"/>
    <w:rsid w:val="002851E8"/>
    <w:rsid w:val="00285641"/>
    <w:rsid w:val="0028580A"/>
    <w:rsid w:val="00285906"/>
    <w:rsid w:val="00285A64"/>
    <w:rsid w:val="00286416"/>
    <w:rsid w:val="0028695B"/>
    <w:rsid w:val="00286BA5"/>
    <w:rsid w:val="00286C5F"/>
    <w:rsid w:val="002873A4"/>
    <w:rsid w:val="00287442"/>
    <w:rsid w:val="002878A9"/>
    <w:rsid w:val="0028792B"/>
    <w:rsid w:val="00287978"/>
    <w:rsid w:val="00287DE5"/>
    <w:rsid w:val="002900A9"/>
    <w:rsid w:val="00290146"/>
    <w:rsid w:val="00290334"/>
    <w:rsid w:val="00290383"/>
    <w:rsid w:val="0029050F"/>
    <w:rsid w:val="00290530"/>
    <w:rsid w:val="0029055D"/>
    <w:rsid w:val="00290A58"/>
    <w:rsid w:val="00290F87"/>
    <w:rsid w:val="0029109B"/>
    <w:rsid w:val="00291156"/>
    <w:rsid w:val="002913B9"/>
    <w:rsid w:val="002916E5"/>
    <w:rsid w:val="0029194D"/>
    <w:rsid w:val="00291CEA"/>
    <w:rsid w:val="00291EAC"/>
    <w:rsid w:val="00291F95"/>
    <w:rsid w:val="0029206C"/>
    <w:rsid w:val="00292194"/>
    <w:rsid w:val="00292426"/>
    <w:rsid w:val="002925EE"/>
    <w:rsid w:val="002927DF"/>
    <w:rsid w:val="00292941"/>
    <w:rsid w:val="002929BF"/>
    <w:rsid w:val="00292A62"/>
    <w:rsid w:val="00292C27"/>
    <w:rsid w:val="00292DC4"/>
    <w:rsid w:val="00292EA2"/>
    <w:rsid w:val="00292EF1"/>
    <w:rsid w:val="00292FF3"/>
    <w:rsid w:val="00293B2A"/>
    <w:rsid w:val="00293D5E"/>
    <w:rsid w:val="002940D4"/>
    <w:rsid w:val="002944A8"/>
    <w:rsid w:val="002945CA"/>
    <w:rsid w:val="00294840"/>
    <w:rsid w:val="00294A7F"/>
    <w:rsid w:val="0029520F"/>
    <w:rsid w:val="00295233"/>
    <w:rsid w:val="00295671"/>
    <w:rsid w:val="00295674"/>
    <w:rsid w:val="0029578B"/>
    <w:rsid w:val="00295EB9"/>
    <w:rsid w:val="002962EA"/>
    <w:rsid w:val="002962F4"/>
    <w:rsid w:val="0029665B"/>
    <w:rsid w:val="00297334"/>
    <w:rsid w:val="0029772F"/>
    <w:rsid w:val="00297798"/>
    <w:rsid w:val="00297B1E"/>
    <w:rsid w:val="00297F99"/>
    <w:rsid w:val="002A01FB"/>
    <w:rsid w:val="002A03CC"/>
    <w:rsid w:val="002A08AA"/>
    <w:rsid w:val="002A0A9F"/>
    <w:rsid w:val="002A0B8E"/>
    <w:rsid w:val="002A0F70"/>
    <w:rsid w:val="002A1504"/>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D92"/>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1B"/>
    <w:rsid w:val="002B05D0"/>
    <w:rsid w:val="002B074B"/>
    <w:rsid w:val="002B0B7C"/>
    <w:rsid w:val="002B12B0"/>
    <w:rsid w:val="002B12F0"/>
    <w:rsid w:val="002B14BA"/>
    <w:rsid w:val="002B1715"/>
    <w:rsid w:val="002B1745"/>
    <w:rsid w:val="002B187E"/>
    <w:rsid w:val="002B1C05"/>
    <w:rsid w:val="002B251C"/>
    <w:rsid w:val="002B266F"/>
    <w:rsid w:val="002B278A"/>
    <w:rsid w:val="002B2966"/>
    <w:rsid w:val="002B3408"/>
    <w:rsid w:val="002B3674"/>
    <w:rsid w:val="002B3B56"/>
    <w:rsid w:val="002B3D10"/>
    <w:rsid w:val="002B40E6"/>
    <w:rsid w:val="002B4357"/>
    <w:rsid w:val="002B4A79"/>
    <w:rsid w:val="002B4AFA"/>
    <w:rsid w:val="002B4B89"/>
    <w:rsid w:val="002B4CDB"/>
    <w:rsid w:val="002B4DC3"/>
    <w:rsid w:val="002B53C5"/>
    <w:rsid w:val="002B5875"/>
    <w:rsid w:val="002B5A8C"/>
    <w:rsid w:val="002B5E38"/>
    <w:rsid w:val="002B6724"/>
    <w:rsid w:val="002B6B6E"/>
    <w:rsid w:val="002B6E2E"/>
    <w:rsid w:val="002B6E73"/>
    <w:rsid w:val="002B6F3A"/>
    <w:rsid w:val="002B70E1"/>
    <w:rsid w:val="002B7516"/>
    <w:rsid w:val="002B751F"/>
    <w:rsid w:val="002B76B2"/>
    <w:rsid w:val="002B76F4"/>
    <w:rsid w:val="002B77FA"/>
    <w:rsid w:val="002B7841"/>
    <w:rsid w:val="002B7865"/>
    <w:rsid w:val="002B7898"/>
    <w:rsid w:val="002B7922"/>
    <w:rsid w:val="002B796B"/>
    <w:rsid w:val="002B79B9"/>
    <w:rsid w:val="002B7ADF"/>
    <w:rsid w:val="002B7B93"/>
    <w:rsid w:val="002C03CD"/>
    <w:rsid w:val="002C0450"/>
    <w:rsid w:val="002C0499"/>
    <w:rsid w:val="002C04AA"/>
    <w:rsid w:val="002C0658"/>
    <w:rsid w:val="002C0890"/>
    <w:rsid w:val="002C0960"/>
    <w:rsid w:val="002C0B2D"/>
    <w:rsid w:val="002C0BFD"/>
    <w:rsid w:val="002C0D4E"/>
    <w:rsid w:val="002C0F8A"/>
    <w:rsid w:val="002C106B"/>
    <w:rsid w:val="002C106C"/>
    <w:rsid w:val="002C1A5D"/>
    <w:rsid w:val="002C1F75"/>
    <w:rsid w:val="002C2247"/>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434C"/>
    <w:rsid w:val="002C5037"/>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0A1"/>
    <w:rsid w:val="002D0287"/>
    <w:rsid w:val="002D06E9"/>
    <w:rsid w:val="002D0EEB"/>
    <w:rsid w:val="002D1CB6"/>
    <w:rsid w:val="002D1D29"/>
    <w:rsid w:val="002D1E77"/>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24"/>
    <w:rsid w:val="002D3D7B"/>
    <w:rsid w:val="002D3EE2"/>
    <w:rsid w:val="002D3EF8"/>
    <w:rsid w:val="002D3F6E"/>
    <w:rsid w:val="002D40EF"/>
    <w:rsid w:val="002D4319"/>
    <w:rsid w:val="002D44E9"/>
    <w:rsid w:val="002D45A7"/>
    <w:rsid w:val="002D4609"/>
    <w:rsid w:val="002D496C"/>
    <w:rsid w:val="002D4D9D"/>
    <w:rsid w:val="002D4E3E"/>
    <w:rsid w:val="002D5043"/>
    <w:rsid w:val="002D54D6"/>
    <w:rsid w:val="002D562E"/>
    <w:rsid w:val="002D5D5B"/>
    <w:rsid w:val="002D5E70"/>
    <w:rsid w:val="002D5EE7"/>
    <w:rsid w:val="002D61C9"/>
    <w:rsid w:val="002D6F2A"/>
    <w:rsid w:val="002D73D2"/>
    <w:rsid w:val="002D7467"/>
    <w:rsid w:val="002D7485"/>
    <w:rsid w:val="002D798A"/>
    <w:rsid w:val="002D79B5"/>
    <w:rsid w:val="002D7C40"/>
    <w:rsid w:val="002E012D"/>
    <w:rsid w:val="002E015E"/>
    <w:rsid w:val="002E0221"/>
    <w:rsid w:val="002E05C1"/>
    <w:rsid w:val="002E0719"/>
    <w:rsid w:val="002E094D"/>
    <w:rsid w:val="002E0A2E"/>
    <w:rsid w:val="002E0C51"/>
    <w:rsid w:val="002E13D8"/>
    <w:rsid w:val="002E1655"/>
    <w:rsid w:val="002E18A9"/>
    <w:rsid w:val="002E198B"/>
    <w:rsid w:val="002E1B6D"/>
    <w:rsid w:val="002E1B93"/>
    <w:rsid w:val="002E1E3E"/>
    <w:rsid w:val="002E22BE"/>
    <w:rsid w:val="002E26B4"/>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30"/>
    <w:rsid w:val="002E5144"/>
    <w:rsid w:val="002E5280"/>
    <w:rsid w:val="002E5440"/>
    <w:rsid w:val="002E5602"/>
    <w:rsid w:val="002E580A"/>
    <w:rsid w:val="002E5853"/>
    <w:rsid w:val="002E59D7"/>
    <w:rsid w:val="002E5ADE"/>
    <w:rsid w:val="002E5CD1"/>
    <w:rsid w:val="002E60E9"/>
    <w:rsid w:val="002E61A8"/>
    <w:rsid w:val="002E625E"/>
    <w:rsid w:val="002E6715"/>
    <w:rsid w:val="002E68A2"/>
    <w:rsid w:val="002E696A"/>
    <w:rsid w:val="002E6BBE"/>
    <w:rsid w:val="002E6EBF"/>
    <w:rsid w:val="002E70F0"/>
    <w:rsid w:val="002E7732"/>
    <w:rsid w:val="002E7869"/>
    <w:rsid w:val="002E788B"/>
    <w:rsid w:val="002E79B8"/>
    <w:rsid w:val="002E7AAD"/>
    <w:rsid w:val="002E7ACC"/>
    <w:rsid w:val="002E7B2B"/>
    <w:rsid w:val="002E7BA3"/>
    <w:rsid w:val="002E7CC9"/>
    <w:rsid w:val="002F079D"/>
    <w:rsid w:val="002F0A44"/>
    <w:rsid w:val="002F0AAB"/>
    <w:rsid w:val="002F0B60"/>
    <w:rsid w:val="002F0BBA"/>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85A"/>
    <w:rsid w:val="002F2932"/>
    <w:rsid w:val="002F2AD9"/>
    <w:rsid w:val="002F2CDA"/>
    <w:rsid w:val="002F3A5D"/>
    <w:rsid w:val="002F3B7E"/>
    <w:rsid w:val="002F3D77"/>
    <w:rsid w:val="002F416B"/>
    <w:rsid w:val="002F42FE"/>
    <w:rsid w:val="002F43AC"/>
    <w:rsid w:val="002F4774"/>
    <w:rsid w:val="002F490E"/>
    <w:rsid w:val="002F4B15"/>
    <w:rsid w:val="002F501C"/>
    <w:rsid w:val="002F5028"/>
    <w:rsid w:val="002F502B"/>
    <w:rsid w:val="002F50FD"/>
    <w:rsid w:val="002F571C"/>
    <w:rsid w:val="002F5A94"/>
    <w:rsid w:val="002F69C4"/>
    <w:rsid w:val="002F6B8C"/>
    <w:rsid w:val="002F6B92"/>
    <w:rsid w:val="002F6B9D"/>
    <w:rsid w:val="002F6E7B"/>
    <w:rsid w:val="002F70F9"/>
    <w:rsid w:val="002F718F"/>
    <w:rsid w:val="002F71A5"/>
    <w:rsid w:val="002F72D7"/>
    <w:rsid w:val="002F7828"/>
    <w:rsid w:val="002F78B7"/>
    <w:rsid w:val="002F7AD4"/>
    <w:rsid w:val="002F7BF5"/>
    <w:rsid w:val="002F7F0B"/>
    <w:rsid w:val="003005D6"/>
    <w:rsid w:val="003006CD"/>
    <w:rsid w:val="003006F6"/>
    <w:rsid w:val="0030079A"/>
    <w:rsid w:val="00300AAF"/>
    <w:rsid w:val="00300D76"/>
    <w:rsid w:val="003015B5"/>
    <w:rsid w:val="00301AFC"/>
    <w:rsid w:val="00301CF7"/>
    <w:rsid w:val="00301F1D"/>
    <w:rsid w:val="00302233"/>
    <w:rsid w:val="0030234D"/>
    <w:rsid w:val="003023E7"/>
    <w:rsid w:val="00302661"/>
    <w:rsid w:val="00302769"/>
    <w:rsid w:val="00302794"/>
    <w:rsid w:val="00302799"/>
    <w:rsid w:val="0030279D"/>
    <w:rsid w:val="003027DA"/>
    <w:rsid w:val="003029B0"/>
    <w:rsid w:val="00302F36"/>
    <w:rsid w:val="00302F53"/>
    <w:rsid w:val="0030339F"/>
    <w:rsid w:val="00303517"/>
    <w:rsid w:val="00303646"/>
    <w:rsid w:val="003037DC"/>
    <w:rsid w:val="00303D27"/>
    <w:rsid w:val="0030418F"/>
    <w:rsid w:val="003041AF"/>
    <w:rsid w:val="003042A3"/>
    <w:rsid w:val="0030480B"/>
    <w:rsid w:val="003048FB"/>
    <w:rsid w:val="00304C40"/>
    <w:rsid w:val="00304D00"/>
    <w:rsid w:val="00304F30"/>
    <w:rsid w:val="003054FA"/>
    <w:rsid w:val="00305E8D"/>
    <w:rsid w:val="00305F94"/>
    <w:rsid w:val="00306109"/>
    <w:rsid w:val="0030618C"/>
    <w:rsid w:val="0030648A"/>
    <w:rsid w:val="00306574"/>
    <w:rsid w:val="003067CC"/>
    <w:rsid w:val="00306A01"/>
    <w:rsid w:val="00306C13"/>
    <w:rsid w:val="00306CEA"/>
    <w:rsid w:val="00306FA5"/>
    <w:rsid w:val="00306FE5"/>
    <w:rsid w:val="003074E7"/>
    <w:rsid w:val="00307518"/>
    <w:rsid w:val="00307C6E"/>
    <w:rsid w:val="00307FCB"/>
    <w:rsid w:val="00310638"/>
    <w:rsid w:val="0031089B"/>
    <w:rsid w:val="00310FDD"/>
    <w:rsid w:val="00311191"/>
    <w:rsid w:val="0031127A"/>
    <w:rsid w:val="00311436"/>
    <w:rsid w:val="003116E3"/>
    <w:rsid w:val="00311EEC"/>
    <w:rsid w:val="00311F14"/>
    <w:rsid w:val="0031215A"/>
    <w:rsid w:val="00312402"/>
    <w:rsid w:val="00312495"/>
    <w:rsid w:val="0031272F"/>
    <w:rsid w:val="003129CE"/>
    <w:rsid w:val="00312A57"/>
    <w:rsid w:val="00312A92"/>
    <w:rsid w:val="00312B69"/>
    <w:rsid w:val="00312B8D"/>
    <w:rsid w:val="00312EA6"/>
    <w:rsid w:val="00312FC7"/>
    <w:rsid w:val="00313151"/>
    <w:rsid w:val="0031382B"/>
    <w:rsid w:val="00313BF4"/>
    <w:rsid w:val="00313F6D"/>
    <w:rsid w:val="003141A9"/>
    <w:rsid w:val="0031428A"/>
    <w:rsid w:val="00314511"/>
    <w:rsid w:val="003146C9"/>
    <w:rsid w:val="003147C9"/>
    <w:rsid w:val="003148DA"/>
    <w:rsid w:val="00314B36"/>
    <w:rsid w:val="00314C76"/>
    <w:rsid w:val="00314CCC"/>
    <w:rsid w:val="00314D82"/>
    <w:rsid w:val="00314DCD"/>
    <w:rsid w:val="00314DE5"/>
    <w:rsid w:val="00314FB1"/>
    <w:rsid w:val="00315053"/>
    <w:rsid w:val="003151E7"/>
    <w:rsid w:val="003152BE"/>
    <w:rsid w:val="003154C8"/>
    <w:rsid w:val="003157C6"/>
    <w:rsid w:val="0031583A"/>
    <w:rsid w:val="00315A95"/>
    <w:rsid w:val="00315FA4"/>
    <w:rsid w:val="00315FBF"/>
    <w:rsid w:val="0031615A"/>
    <w:rsid w:val="0031618B"/>
    <w:rsid w:val="00316256"/>
    <w:rsid w:val="00316DED"/>
    <w:rsid w:val="00316E2A"/>
    <w:rsid w:val="00316E58"/>
    <w:rsid w:val="003170F9"/>
    <w:rsid w:val="003175F1"/>
    <w:rsid w:val="003178A8"/>
    <w:rsid w:val="0031799C"/>
    <w:rsid w:val="003179CD"/>
    <w:rsid w:val="00320238"/>
    <w:rsid w:val="0032074F"/>
    <w:rsid w:val="0032094C"/>
    <w:rsid w:val="00320985"/>
    <w:rsid w:val="00320AB6"/>
    <w:rsid w:val="00320B46"/>
    <w:rsid w:val="00320BEA"/>
    <w:rsid w:val="0032108F"/>
    <w:rsid w:val="00321592"/>
    <w:rsid w:val="00321820"/>
    <w:rsid w:val="003219BA"/>
    <w:rsid w:val="003219E7"/>
    <w:rsid w:val="00321CF6"/>
    <w:rsid w:val="0032210E"/>
    <w:rsid w:val="00322252"/>
    <w:rsid w:val="00322254"/>
    <w:rsid w:val="00322283"/>
    <w:rsid w:val="0032248F"/>
    <w:rsid w:val="00322A4B"/>
    <w:rsid w:val="00322B0C"/>
    <w:rsid w:val="00322C2C"/>
    <w:rsid w:val="003236B1"/>
    <w:rsid w:val="00323A21"/>
    <w:rsid w:val="00323EC3"/>
    <w:rsid w:val="00324136"/>
    <w:rsid w:val="0032415F"/>
    <w:rsid w:val="0032442F"/>
    <w:rsid w:val="003244F7"/>
    <w:rsid w:val="00324789"/>
    <w:rsid w:val="00324904"/>
    <w:rsid w:val="003249D9"/>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651"/>
    <w:rsid w:val="00327736"/>
    <w:rsid w:val="003278D9"/>
    <w:rsid w:val="00327B8C"/>
    <w:rsid w:val="00327D58"/>
    <w:rsid w:val="00327D5F"/>
    <w:rsid w:val="00327DA6"/>
    <w:rsid w:val="00330064"/>
    <w:rsid w:val="003306A0"/>
    <w:rsid w:val="00330842"/>
    <w:rsid w:val="00330DB7"/>
    <w:rsid w:val="00330DBB"/>
    <w:rsid w:val="00330F1A"/>
    <w:rsid w:val="00331306"/>
    <w:rsid w:val="00331477"/>
    <w:rsid w:val="00331CAF"/>
    <w:rsid w:val="003323EB"/>
    <w:rsid w:val="00332539"/>
    <w:rsid w:val="00332779"/>
    <w:rsid w:val="003327FF"/>
    <w:rsid w:val="00332D26"/>
    <w:rsid w:val="00332D33"/>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AF5"/>
    <w:rsid w:val="00335F6D"/>
    <w:rsid w:val="00336023"/>
    <w:rsid w:val="00336904"/>
    <w:rsid w:val="003369CE"/>
    <w:rsid w:val="003369EA"/>
    <w:rsid w:val="00336AF1"/>
    <w:rsid w:val="00336C32"/>
    <w:rsid w:val="003373A6"/>
    <w:rsid w:val="003377BC"/>
    <w:rsid w:val="003400F5"/>
    <w:rsid w:val="003404D4"/>
    <w:rsid w:val="00340539"/>
    <w:rsid w:val="00340684"/>
    <w:rsid w:val="0034077A"/>
    <w:rsid w:val="00340984"/>
    <w:rsid w:val="00340C56"/>
    <w:rsid w:val="00340FA2"/>
    <w:rsid w:val="00342133"/>
    <w:rsid w:val="00342177"/>
    <w:rsid w:val="0034246F"/>
    <w:rsid w:val="0034257D"/>
    <w:rsid w:val="003426E9"/>
    <w:rsid w:val="0034274A"/>
    <w:rsid w:val="003428AD"/>
    <w:rsid w:val="00342C80"/>
    <w:rsid w:val="00342D56"/>
    <w:rsid w:val="00342E1F"/>
    <w:rsid w:val="00342E88"/>
    <w:rsid w:val="003433C3"/>
    <w:rsid w:val="0034384D"/>
    <w:rsid w:val="00343858"/>
    <w:rsid w:val="003438E7"/>
    <w:rsid w:val="00343CF9"/>
    <w:rsid w:val="00343F4C"/>
    <w:rsid w:val="003448E1"/>
    <w:rsid w:val="00344CFC"/>
    <w:rsid w:val="00344DD6"/>
    <w:rsid w:val="00344E12"/>
    <w:rsid w:val="00344EC5"/>
    <w:rsid w:val="00345597"/>
    <w:rsid w:val="00345628"/>
    <w:rsid w:val="00345811"/>
    <w:rsid w:val="00345EF6"/>
    <w:rsid w:val="00345FDD"/>
    <w:rsid w:val="0034605C"/>
    <w:rsid w:val="003460A9"/>
    <w:rsid w:val="0034673A"/>
    <w:rsid w:val="003467C5"/>
    <w:rsid w:val="003469F4"/>
    <w:rsid w:val="00346A37"/>
    <w:rsid w:val="00346E95"/>
    <w:rsid w:val="00347024"/>
    <w:rsid w:val="0034705F"/>
    <w:rsid w:val="0034727C"/>
    <w:rsid w:val="003473F9"/>
    <w:rsid w:val="0034752E"/>
    <w:rsid w:val="0034763E"/>
    <w:rsid w:val="003476FD"/>
    <w:rsid w:val="003478D3"/>
    <w:rsid w:val="00347AA2"/>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0E9"/>
    <w:rsid w:val="003554A2"/>
    <w:rsid w:val="003555D8"/>
    <w:rsid w:val="00355F2B"/>
    <w:rsid w:val="0035649B"/>
    <w:rsid w:val="00356679"/>
    <w:rsid w:val="00356715"/>
    <w:rsid w:val="00356782"/>
    <w:rsid w:val="00356946"/>
    <w:rsid w:val="00356A83"/>
    <w:rsid w:val="0035789A"/>
    <w:rsid w:val="00357A41"/>
    <w:rsid w:val="00360367"/>
    <w:rsid w:val="0036038D"/>
    <w:rsid w:val="00360492"/>
    <w:rsid w:val="00360510"/>
    <w:rsid w:val="003607AB"/>
    <w:rsid w:val="00360898"/>
    <w:rsid w:val="00360960"/>
    <w:rsid w:val="003609FF"/>
    <w:rsid w:val="00360C14"/>
    <w:rsid w:val="00360C40"/>
    <w:rsid w:val="00360D3E"/>
    <w:rsid w:val="00360F47"/>
    <w:rsid w:val="00360F63"/>
    <w:rsid w:val="003611FD"/>
    <w:rsid w:val="003614D0"/>
    <w:rsid w:val="00361629"/>
    <w:rsid w:val="00361713"/>
    <w:rsid w:val="003618AE"/>
    <w:rsid w:val="00361D1E"/>
    <w:rsid w:val="003621D7"/>
    <w:rsid w:val="00362B5B"/>
    <w:rsid w:val="00362C00"/>
    <w:rsid w:val="00362FB7"/>
    <w:rsid w:val="00363075"/>
    <w:rsid w:val="003630C0"/>
    <w:rsid w:val="003631BB"/>
    <w:rsid w:val="003631F0"/>
    <w:rsid w:val="0036342B"/>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085"/>
    <w:rsid w:val="00366192"/>
    <w:rsid w:val="0036643F"/>
    <w:rsid w:val="003667FA"/>
    <w:rsid w:val="0036699E"/>
    <w:rsid w:val="003669CF"/>
    <w:rsid w:val="00366A7C"/>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C19"/>
    <w:rsid w:val="00370DA9"/>
    <w:rsid w:val="00370DE2"/>
    <w:rsid w:val="00371022"/>
    <w:rsid w:val="00371318"/>
    <w:rsid w:val="003715FD"/>
    <w:rsid w:val="003716E9"/>
    <w:rsid w:val="00371B1F"/>
    <w:rsid w:val="00371E52"/>
    <w:rsid w:val="003720B1"/>
    <w:rsid w:val="003720F0"/>
    <w:rsid w:val="0037213C"/>
    <w:rsid w:val="003722A8"/>
    <w:rsid w:val="003724D4"/>
    <w:rsid w:val="003725A4"/>
    <w:rsid w:val="00372B31"/>
    <w:rsid w:val="0037305D"/>
    <w:rsid w:val="003730B2"/>
    <w:rsid w:val="0037322F"/>
    <w:rsid w:val="00373796"/>
    <w:rsid w:val="00373B4C"/>
    <w:rsid w:val="00373E6D"/>
    <w:rsid w:val="003740D0"/>
    <w:rsid w:val="00374307"/>
    <w:rsid w:val="003743EC"/>
    <w:rsid w:val="003746BB"/>
    <w:rsid w:val="00374806"/>
    <w:rsid w:val="003748A8"/>
    <w:rsid w:val="00374D39"/>
    <w:rsid w:val="00374DDE"/>
    <w:rsid w:val="00374DF5"/>
    <w:rsid w:val="00374E92"/>
    <w:rsid w:val="00374F46"/>
    <w:rsid w:val="0037521A"/>
    <w:rsid w:val="003753F4"/>
    <w:rsid w:val="003755D3"/>
    <w:rsid w:val="0037582B"/>
    <w:rsid w:val="00375A32"/>
    <w:rsid w:val="003761C0"/>
    <w:rsid w:val="003765F1"/>
    <w:rsid w:val="003765F3"/>
    <w:rsid w:val="003767A8"/>
    <w:rsid w:val="00376B4F"/>
    <w:rsid w:val="00376D27"/>
    <w:rsid w:val="00376E5F"/>
    <w:rsid w:val="00377084"/>
    <w:rsid w:val="0037743E"/>
    <w:rsid w:val="00377622"/>
    <w:rsid w:val="00377827"/>
    <w:rsid w:val="00377F14"/>
    <w:rsid w:val="00380405"/>
    <w:rsid w:val="003804AD"/>
    <w:rsid w:val="003804BA"/>
    <w:rsid w:val="00380A1B"/>
    <w:rsid w:val="003811A9"/>
    <w:rsid w:val="00381328"/>
    <w:rsid w:val="00381756"/>
    <w:rsid w:val="00381E0B"/>
    <w:rsid w:val="00382211"/>
    <w:rsid w:val="00382724"/>
    <w:rsid w:val="00382803"/>
    <w:rsid w:val="00382B42"/>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87BEF"/>
    <w:rsid w:val="00387FB8"/>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A5B"/>
    <w:rsid w:val="00392C97"/>
    <w:rsid w:val="00392FFE"/>
    <w:rsid w:val="0039390D"/>
    <w:rsid w:val="00393978"/>
    <w:rsid w:val="00393F10"/>
    <w:rsid w:val="00394490"/>
    <w:rsid w:val="00394498"/>
    <w:rsid w:val="0039457F"/>
    <w:rsid w:val="00394A49"/>
    <w:rsid w:val="00394AE7"/>
    <w:rsid w:val="00395986"/>
    <w:rsid w:val="00395A26"/>
    <w:rsid w:val="00395A4F"/>
    <w:rsid w:val="00395EBF"/>
    <w:rsid w:val="0039608B"/>
    <w:rsid w:val="00396519"/>
    <w:rsid w:val="00396889"/>
    <w:rsid w:val="00396A59"/>
    <w:rsid w:val="00396BCC"/>
    <w:rsid w:val="00396BE4"/>
    <w:rsid w:val="00396C01"/>
    <w:rsid w:val="0039789E"/>
    <w:rsid w:val="00397C20"/>
    <w:rsid w:val="00397DEF"/>
    <w:rsid w:val="00397E08"/>
    <w:rsid w:val="00397EB2"/>
    <w:rsid w:val="003A0159"/>
    <w:rsid w:val="003A019B"/>
    <w:rsid w:val="003A01C3"/>
    <w:rsid w:val="003A0405"/>
    <w:rsid w:val="003A0754"/>
    <w:rsid w:val="003A08B6"/>
    <w:rsid w:val="003A0C2B"/>
    <w:rsid w:val="003A108A"/>
    <w:rsid w:val="003A1120"/>
    <w:rsid w:val="003A1BEA"/>
    <w:rsid w:val="003A244D"/>
    <w:rsid w:val="003A257E"/>
    <w:rsid w:val="003A2711"/>
    <w:rsid w:val="003A28A5"/>
    <w:rsid w:val="003A2B05"/>
    <w:rsid w:val="003A2D7C"/>
    <w:rsid w:val="003A2EB7"/>
    <w:rsid w:val="003A3044"/>
    <w:rsid w:val="003A30BE"/>
    <w:rsid w:val="003A346D"/>
    <w:rsid w:val="003A34AC"/>
    <w:rsid w:val="003A3690"/>
    <w:rsid w:val="003A3C42"/>
    <w:rsid w:val="003A44F6"/>
    <w:rsid w:val="003A451A"/>
    <w:rsid w:val="003A47F7"/>
    <w:rsid w:val="003A4A0F"/>
    <w:rsid w:val="003A4C10"/>
    <w:rsid w:val="003A4E2B"/>
    <w:rsid w:val="003A532B"/>
    <w:rsid w:val="003A5345"/>
    <w:rsid w:val="003A567E"/>
    <w:rsid w:val="003A5991"/>
    <w:rsid w:val="003A5D1D"/>
    <w:rsid w:val="003A5F96"/>
    <w:rsid w:val="003A6170"/>
    <w:rsid w:val="003A643E"/>
    <w:rsid w:val="003A646A"/>
    <w:rsid w:val="003A6825"/>
    <w:rsid w:val="003A6B2C"/>
    <w:rsid w:val="003A6F07"/>
    <w:rsid w:val="003A7384"/>
    <w:rsid w:val="003A74F0"/>
    <w:rsid w:val="003A7AD8"/>
    <w:rsid w:val="003A7CCD"/>
    <w:rsid w:val="003A7F75"/>
    <w:rsid w:val="003B0364"/>
    <w:rsid w:val="003B0B10"/>
    <w:rsid w:val="003B0BF1"/>
    <w:rsid w:val="003B107A"/>
    <w:rsid w:val="003B1363"/>
    <w:rsid w:val="003B176C"/>
    <w:rsid w:val="003B181F"/>
    <w:rsid w:val="003B1BE9"/>
    <w:rsid w:val="003B1D33"/>
    <w:rsid w:val="003B1DF2"/>
    <w:rsid w:val="003B1DFA"/>
    <w:rsid w:val="003B1E7E"/>
    <w:rsid w:val="003B1EBC"/>
    <w:rsid w:val="003B2149"/>
    <w:rsid w:val="003B2492"/>
    <w:rsid w:val="003B24C4"/>
    <w:rsid w:val="003B29B0"/>
    <w:rsid w:val="003B2B28"/>
    <w:rsid w:val="003B2BF7"/>
    <w:rsid w:val="003B2CC1"/>
    <w:rsid w:val="003B304D"/>
    <w:rsid w:val="003B3A26"/>
    <w:rsid w:val="003B3E37"/>
    <w:rsid w:val="003B416E"/>
    <w:rsid w:val="003B4194"/>
    <w:rsid w:val="003B4652"/>
    <w:rsid w:val="003B4669"/>
    <w:rsid w:val="003B490B"/>
    <w:rsid w:val="003B4C56"/>
    <w:rsid w:val="003B4F6D"/>
    <w:rsid w:val="003B5092"/>
    <w:rsid w:val="003B5246"/>
    <w:rsid w:val="003B525A"/>
    <w:rsid w:val="003B5636"/>
    <w:rsid w:val="003B56C5"/>
    <w:rsid w:val="003B56E0"/>
    <w:rsid w:val="003B58ED"/>
    <w:rsid w:val="003B5A67"/>
    <w:rsid w:val="003B5D42"/>
    <w:rsid w:val="003B6074"/>
    <w:rsid w:val="003B6288"/>
    <w:rsid w:val="003B6D42"/>
    <w:rsid w:val="003B6FC9"/>
    <w:rsid w:val="003B70C3"/>
    <w:rsid w:val="003B71C3"/>
    <w:rsid w:val="003B71D1"/>
    <w:rsid w:val="003B74A9"/>
    <w:rsid w:val="003B7611"/>
    <w:rsid w:val="003B7749"/>
    <w:rsid w:val="003B781F"/>
    <w:rsid w:val="003B799D"/>
    <w:rsid w:val="003B7A4D"/>
    <w:rsid w:val="003B7B3D"/>
    <w:rsid w:val="003B7B53"/>
    <w:rsid w:val="003B7BE9"/>
    <w:rsid w:val="003B7E3A"/>
    <w:rsid w:val="003C05B2"/>
    <w:rsid w:val="003C088B"/>
    <w:rsid w:val="003C0A7D"/>
    <w:rsid w:val="003C0BDF"/>
    <w:rsid w:val="003C11B9"/>
    <w:rsid w:val="003C1634"/>
    <w:rsid w:val="003C17DB"/>
    <w:rsid w:val="003C1956"/>
    <w:rsid w:val="003C19CC"/>
    <w:rsid w:val="003C1ABB"/>
    <w:rsid w:val="003C1AC1"/>
    <w:rsid w:val="003C1C94"/>
    <w:rsid w:val="003C1CBF"/>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A0E"/>
    <w:rsid w:val="003C6B19"/>
    <w:rsid w:val="003C6B4E"/>
    <w:rsid w:val="003C6CFF"/>
    <w:rsid w:val="003C6D39"/>
    <w:rsid w:val="003C75B1"/>
    <w:rsid w:val="003C7742"/>
    <w:rsid w:val="003C7B51"/>
    <w:rsid w:val="003D01C8"/>
    <w:rsid w:val="003D06BC"/>
    <w:rsid w:val="003D0B4C"/>
    <w:rsid w:val="003D0BCF"/>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40B6"/>
    <w:rsid w:val="003D475E"/>
    <w:rsid w:val="003D4B59"/>
    <w:rsid w:val="003D4BEF"/>
    <w:rsid w:val="003D4D40"/>
    <w:rsid w:val="003D50C2"/>
    <w:rsid w:val="003D5203"/>
    <w:rsid w:val="003D5435"/>
    <w:rsid w:val="003D56F8"/>
    <w:rsid w:val="003D57BC"/>
    <w:rsid w:val="003D5F0B"/>
    <w:rsid w:val="003D63EC"/>
    <w:rsid w:val="003D64B2"/>
    <w:rsid w:val="003D652A"/>
    <w:rsid w:val="003D65BE"/>
    <w:rsid w:val="003D6727"/>
    <w:rsid w:val="003D6D87"/>
    <w:rsid w:val="003D6F9A"/>
    <w:rsid w:val="003D6FA4"/>
    <w:rsid w:val="003D6FC3"/>
    <w:rsid w:val="003D718C"/>
    <w:rsid w:val="003D71ED"/>
    <w:rsid w:val="003D72AF"/>
    <w:rsid w:val="003D7492"/>
    <w:rsid w:val="003D7507"/>
    <w:rsid w:val="003D7530"/>
    <w:rsid w:val="003D79C3"/>
    <w:rsid w:val="003D7C65"/>
    <w:rsid w:val="003E029F"/>
    <w:rsid w:val="003E086B"/>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82F"/>
    <w:rsid w:val="003E3A4C"/>
    <w:rsid w:val="003E3E15"/>
    <w:rsid w:val="003E40CB"/>
    <w:rsid w:val="003E43C6"/>
    <w:rsid w:val="003E440C"/>
    <w:rsid w:val="003E4966"/>
    <w:rsid w:val="003E49FE"/>
    <w:rsid w:val="003E4AE8"/>
    <w:rsid w:val="003E4CF4"/>
    <w:rsid w:val="003E4D8D"/>
    <w:rsid w:val="003E4FD5"/>
    <w:rsid w:val="003E507E"/>
    <w:rsid w:val="003E53E6"/>
    <w:rsid w:val="003E544A"/>
    <w:rsid w:val="003E559C"/>
    <w:rsid w:val="003E5635"/>
    <w:rsid w:val="003E5DFC"/>
    <w:rsid w:val="003E5E76"/>
    <w:rsid w:val="003E5EA6"/>
    <w:rsid w:val="003E5EC8"/>
    <w:rsid w:val="003E60F4"/>
    <w:rsid w:val="003E616C"/>
    <w:rsid w:val="003E648C"/>
    <w:rsid w:val="003E6622"/>
    <w:rsid w:val="003E66F9"/>
    <w:rsid w:val="003E6749"/>
    <w:rsid w:val="003E6B37"/>
    <w:rsid w:val="003E6C6E"/>
    <w:rsid w:val="003E6E44"/>
    <w:rsid w:val="003E70E4"/>
    <w:rsid w:val="003E712A"/>
    <w:rsid w:val="003E747E"/>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CE0"/>
    <w:rsid w:val="003F1E0B"/>
    <w:rsid w:val="003F1F61"/>
    <w:rsid w:val="003F1F6B"/>
    <w:rsid w:val="003F2296"/>
    <w:rsid w:val="003F2359"/>
    <w:rsid w:val="003F25F5"/>
    <w:rsid w:val="003F2917"/>
    <w:rsid w:val="003F2A51"/>
    <w:rsid w:val="003F2D74"/>
    <w:rsid w:val="003F2DC0"/>
    <w:rsid w:val="003F36B1"/>
    <w:rsid w:val="003F3908"/>
    <w:rsid w:val="003F3A25"/>
    <w:rsid w:val="003F3ACB"/>
    <w:rsid w:val="003F3B7B"/>
    <w:rsid w:val="003F3C39"/>
    <w:rsid w:val="003F3D18"/>
    <w:rsid w:val="003F3EC3"/>
    <w:rsid w:val="003F4406"/>
    <w:rsid w:val="003F445A"/>
    <w:rsid w:val="003F4721"/>
    <w:rsid w:val="003F47F3"/>
    <w:rsid w:val="003F4C4B"/>
    <w:rsid w:val="003F4D4B"/>
    <w:rsid w:val="003F4F67"/>
    <w:rsid w:val="003F5296"/>
    <w:rsid w:val="003F52A1"/>
    <w:rsid w:val="003F537D"/>
    <w:rsid w:val="003F55C2"/>
    <w:rsid w:val="003F5B2C"/>
    <w:rsid w:val="003F5C1F"/>
    <w:rsid w:val="003F604C"/>
    <w:rsid w:val="003F6157"/>
    <w:rsid w:val="003F6858"/>
    <w:rsid w:val="003F6A66"/>
    <w:rsid w:val="003F6CEE"/>
    <w:rsid w:val="003F6D69"/>
    <w:rsid w:val="003F74D0"/>
    <w:rsid w:val="003F7555"/>
    <w:rsid w:val="003F767B"/>
    <w:rsid w:val="003F7690"/>
    <w:rsid w:val="003F76F0"/>
    <w:rsid w:val="003F786F"/>
    <w:rsid w:val="003F7F0A"/>
    <w:rsid w:val="00400209"/>
    <w:rsid w:val="00400650"/>
    <w:rsid w:val="0040079B"/>
    <w:rsid w:val="00400B1E"/>
    <w:rsid w:val="0040143C"/>
    <w:rsid w:val="0040160D"/>
    <w:rsid w:val="00402064"/>
    <w:rsid w:val="00402621"/>
    <w:rsid w:val="0040283D"/>
    <w:rsid w:val="00402CDF"/>
    <w:rsid w:val="00402D84"/>
    <w:rsid w:val="00402E01"/>
    <w:rsid w:val="00402F25"/>
    <w:rsid w:val="0040307D"/>
    <w:rsid w:val="004030E1"/>
    <w:rsid w:val="004030FE"/>
    <w:rsid w:val="00403337"/>
    <w:rsid w:val="004034EF"/>
    <w:rsid w:val="0040371B"/>
    <w:rsid w:val="00403BC3"/>
    <w:rsid w:val="00403C60"/>
    <w:rsid w:val="00403CFA"/>
    <w:rsid w:val="00403E77"/>
    <w:rsid w:val="0040446D"/>
    <w:rsid w:val="00404881"/>
    <w:rsid w:val="00405404"/>
    <w:rsid w:val="004056BE"/>
    <w:rsid w:val="004056E0"/>
    <w:rsid w:val="00405702"/>
    <w:rsid w:val="00405713"/>
    <w:rsid w:val="0040592F"/>
    <w:rsid w:val="00405B75"/>
    <w:rsid w:val="004061FD"/>
    <w:rsid w:val="0040645B"/>
    <w:rsid w:val="004065D7"/>
    <w:rsid w:val="004066D2"/>
    <w:rsid w:val="00406895"/>
    <w:rsid w:val="00406AAB"/>
    <w:rsid w:val="00406E32"/>
    <w:rsid w:val="00407322"/>
    <w:rsid w:val="00407412"/>
    <w:rsid w:val="004079C1"/>
    <w:rsid w:val="00407BF7"/>
    <w:rsid w:val="00407F76"/>
    <w:rsid w:val="0041003F"/>
    <w:rsid w:val="00410820"/>
    <w:rsid w:val="00410FC7"/>
    <w:rsid w:val="00411041"/>
    <w:rsid w:val="00411468"/>
    <w:rsid w:val="004115EE"/>
    <w:rsid w:val="00411622"/>
    <w:rsid w:val="004117DA"/>
    <w:rsid w:val="00411899"/>
    <w:rsid w:val="00411A58"/>
    <w:rsid w:val="0041221D"/>
    <w:rsid w:val="0041278B"/>
    <w:rsid w:val="0041281C"/>
    <w:rsid w:val="00412B67"/>
    <w:rsid w:val="0041300E"/>
    <w:rsid w:val="00413555"/>
    <w:rsid w:val="0041387B"/>
    <w:rsid w:val="004144BF"/>
    <w:rsid w:val="004146BA"/>
    <w:rsid w:val="00414934"/>
    <w:rsid w:val="00414B37"/>
    <w:rsid w:val="00414CF2"/>
    <w:rsid w:val="00414D23"/>
    <w:rsid w:val="0041504D"/>
    <w:rsid w:val="00415264"/>
    <w:rsid w:val="004153ED"/>
    <w:rsid w:val="004156ED"/>
    <w:rsid w:val="00416532"/>
    <w:rsid w:val="00416EA8"/>
    <w:rsid w:val="004171AC"/>
    <w:rsid w:val="0041729E"/>
    <w:rsid w:val="00417391"/>
    <w:rsid w:val="0041765F"/>
    <w:rsid w:val="00417967"/>
    <w:rsid w:val="00417A61"/>
    <w:rsid w:val="004201AA"/>
    <w:rsid w:val="0042058B"/>
    <w:rsid w:val="0042074E"/>
    <w:rsid w:val="00420A08"/>
    <w:rsid w:val="00420AED"/>
    <w:rsid w:val="00420E07"/>
    <w:rsid w:val="00420EAF"/>
    <w:rsid w:val="00420F5B"/>
    <w:rsid w:val="004216C6"/>
    <w:rsid w:val="0042182B"/>
    <w:rsid w:val="00421976"/>
    <w:rsid w:val="00421E7E"/>
    <w:rsid w:val="00421F54"/>
    <w:rsid w:val="00421FF0"/>
    <w:rsid w:val="00422008"/>
    <w:rsid w:val="0042200D"/>
    <w:rsid w:val="004227C7"/>
    <w:rsid w:val="00422A10"/>
    <w:rsid w:val="00422C0C"/>
    <w:rsid w:val="00422C0D"/>
    <w:rsid w:val="00422D1F"/>
    <w:rsid w:val="00422FEE"/>
    <w:rsid w:val="00423030"/>
    <w:rsid w:val="00423139"/>
    <w:rsid w:val="0042334C"/>
    <w:rsid w:val="0042336A"/>
    <w:rsid w:val="0042354E"/>
    <w:rsid w:val="00423765"/>
    <w:rsid w:val="00423800"/>
    <w:rsid w:val="00423A8E"/>
    <w:rsid w:val="00423B8E"/>
    <w:rsid w:val="00424264"/>
    <w:rsid w:val="00424C50"/>
    <w:rsid w:val="00425425"/>
    <w:rsid w:val="00425585"/>
    <w:rsid w:val="00425E15"/>
    <w:rsid w:val="004264DA"/>
    <w:rsid w:val="004264F0"/>
    <w:rsid w:val="00426527"/>
    <w:rsid w:val="00426863"/>
    <w:rsid w:val="00426AA1"/>
    <w:rsid w:val="00426AC1"/>
    <w:rsid w:val="00426AD2"/>
    <w:rsid w:val="00426CEC"/>
    <w:rsid w:val="00426E4D"/>
    <w:rsid w:val="0042716F"/>
    <w:rsid w:val="0042759E"/>
    <w:rsid w:val="004275D4"/>
    <w:rsid w:val="00430649"/>
    <w:rsid w:val="004307F6"/>
    <w:rsid w:val="004309DA"/>
    <w:rsid w:val="00430DD2"/>
    <w:rsid w:val="00430E00"/>
    <w:rsid w:val="00431098"/>
    <w:rsid w:val="004315C1"/>
    <w:rsid w:val="00431D0D"/>
    <w:rsid w:val="00431DC0"/>
    <w:rsid w:val="0043232F"/>
    <w:rsid w:val="004324AA"/>
    <w:rsid w:val="004330CA"/>
    <w:rsid w:val="00433355"/>
    <w:rsid w:val="00433393"/>
    <w:rsid w:val="00433579"/>
    <w:rsid w:val="004337D8"/>
    <w:rsid w:val="0043396E"/>
    <w:rsid w:val="00433BA6"/>
    <w:rsid w:val="00433EE1"/>
    <w:rsid w:val="00433F67"/>
    <w:rsid w:val="00433F76"/>
    <w:rsid w:val="00434148"/>
    <w:rsid w:val="004341F2"/>
    <w:rsid w:val="0043440E"/>
    <w:rsid w:val="00434548"/>
    <w:rsid w:val="004347F8"/>
    <w:rsid w:val="004348CF"/>
    <w:rsid w:val="004349A0"/>
    <w:rsid w:val="00434A2B"/>
    <w:rsid w:val="00434BA8"/>
    <w:rsid w:val="00434C6D"/>
    <w:rsid w:val="00434D68"/>
    <w:rsid w:val="00434DCA"/>
    <w:rsid w:val="004364B2"/>
    <w:rsid w:val="00436892"/>
    <w:rsid w:val="00436954"/>
    <w:rsid w:val="00436A8F"/>
    <w:rsid w:val="00436B87"/>
    <w:rsid w:val="00436FF0"/>
    <w:rsid w:val="0043709F"/>
    <w:rsid w:val="0043733F"/>
    <w:rsid w:val="00437556"/>
    <w:rsid w:val="0043788E"/>
    <w:rsid w:val="004379BA"/>
    <w:rsid w:val="00440537"/>
    <w:rsid w:val="004406C2"/>
    <w:rsid w:val="0044085F"/>
    <w:rsid w:val="00440C9C"/>
    <w:rsid w:val="00440E7E"/>
    <w:rsid w:val="0044110C"/>
    <w:rsid w:val="00441952"/>
    <w:rsid w:val="004428AE"/>
    <w:rsid w:val="004429B1"/>
    <w:rsid w:val="00442A0C"/>
    <w:rsid w:val="00442AE3"/>
    <w:rsid w:val="00442B4F"/>
    <w:rsid w:val="00442D50"/>
    <w:rsid w:val="0044305C"/>
    <w:rsid w:val="00443626"/>
    <w:rsid w:val="00443900"/>
    <w:rsid w:val="004439C6"/>
    <w:rsid w:val="004442C5"/>
    <w:rsid w:val="00444B90"/>
    <w:rsid w:val="004450DF"/>
    <w:rsid w:val="004451DF"/>
    <w:rsid w:val="00445217"/>
    <w:rsid w:val="00445701"/>
    <w:rsid w:val="00445A45"/>
    <w:rsid w:val="00445A81"/>
    <w:rsid w:val="00445AE3"/>
    <w:rsid w:val="00445D08"/>
    <w:rsid w:val="004460C4"/>
    <w:rsid w:val="00446468"/>
    <w:rsid w:val="0044647B"/>
    <w:rsid w:val="00446558"/>
    <w:rsid w:val="00446846"/>
    <w:rsid w:val="004468F3"/>
    <w:rsid w:val="00446CBB"/>
    <w:rsid w:val="00446CC2"/>
    <w:rsid w:val="0044730D"/>
    <w:rsid w:val="004475BF"/>
    <w:rsid w:val="004476C8"/>
    <w:rsid w:val="00447D0F"/>
    <w:rsid w:val="00447DC9"/>
    <w:rsid w:val="004500F6"/>
    <w:rsid w:val="00450168"/>
    <w:rsid w:val="0045058C"/>
    <w:rsid w:val="00450736"/>
    <w:rsid w:val="00451671"/>
    <w:rsid w:val="004518A2"/>
    <w:rsid w:val="0045199F"/>
    <w:rsid w:val="00451D05"/>
    <w:rsid w:val="00451F04"/>
    <w:rsid w:val="0045211E"/>
    <w:rsid w:val="00452324"/>
    <w:rsid w:val="004527EB"/>
    <w:rsid w:val="00452A4E"/>
    <w:rsid w:val="00452AF5"/>
    <w:rsid w:val="00452CB7"/>
    <w:rsid w:val="00453035"/>
    <w:rsid w:val="004531AB"/>
    <w:rsid w:val="004532D9"/>
    <w:rsid w:val="0045362E"/>
    <w:rsid w:val="00453844"/>
    <w:rsid w:val="004539E3"/>
    <w:rsid w:val="00453E84"/>
    <w:rsid w:val="00454AEB"/>
    <w:rsid w:val="00454C22"/>
    <w:rsid w:val="00454F31"/>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3B4"/>
    <w:rsid w:val="004603E1"/>
    <w:rsid w:val="00460453"/>
    <w:rsid w:val="0046090A"/>
    <w:rsid w:val="00460980"/>
    <w:rsid w:val="00460AEA"/>
    <w:rsid w:val="00460BA9"/>
    <w:rsid w:val="00460F38"/>
    <w:rsid w:val="00460FE6"/>
    <w:rsid w:val="00461035"/>
    <w:rsid w:val="004610B7"/>
    <w:rsid w:val="004611D1"/>
    <w:rsid w:val="00461534"/>
    <w:rsid w:val="00461720"/>
    <w:rsid w:val="004618FA"/>
    <w:rsid w:val="00461B2F"/>
    <w:rsid w:val="004621DB"/>
    <w:rsid w:val="0046265B"/>
    <w:rsid w:val="004627E6"/>
    <w:rsid w:val="0046281D"/>
    <w:rsid w:val="00462D10"/>
    <w:rsid w:val="00462E0C"/>
    <w:rsid w:val="004630D8"/>
    <w:rsid w:val="00463B1B"/>
    <w:rsid w:val="004646AB"/>
    <w:rsid w:val="00464B6F"/>
    <w:rsid w:val="00464C6C"/>
    <w:rsid w:val="004651B5"/>
    <w:rsid w:val="00465C41"/>
    <w:rsid w:val="004662FB"/>
    <w:rsid w:val="0046666C"/>
    <w:rsid w:val="00466835"/>
    <w:rsid w:val="00466B10"/>
    <w:rsid w:val="00466B16"/>
    <w:rsid w:val="00466C48"/>
    <w:rsid w:val="00466DDA"/>
    <w:rsid w:val="00466EF0"/>
    <w:rsid w:val="00467984"/>
    <w:rsid w:val="00467D9C"/>
    <w:rsid w:val="00467DC2"/>
    <w:rsid w:val="00467E10"/>
    <w:rsid w:val="004702C2"/>
    <w:rsid w:val="00470477"/>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61"/>
    <w:rsid w:val="00472AE7"/>
    <w:rsid w:val="00473030"/>
    <w:rsid w:val="0047329D"/>
    <w:rsid w:val="004733D5"/>
    <w:rsid w:val="00473D05"/>
    <w:rsid w:val="00474327"/>
    <w:rsid w:val="00474784"/>
    <w:rsid w:val="00474876"/>
    <w:rsid w:val="004753BE"/>
    <w:rsid w:val="00475759"/>
    <w:rsid w:val="0047610E"/>
    <w:rsid w:val="0047614A"/>
    <w:rsid w:val="0047654A"/>
    <w:rsid w:val="00476802"/>
    <w:rsid w:val="00476A18"/>
    <w:rsid w:val="00476BC4"/>
    <w:rsid w:val="00476C33"/>
    <w:rsid w:val="00477404"/>
    <w:rsid w:val="00477550"/>
    <w:rsid w:val="00477762"/>
    <w:rsid w:val="00477989"/>
    <w:rsid w:val="00477AF4"/>
    <w:rsid w:val="00477C44"/>
    <w:rsid w:val="00477F33"/>
    <w:rsid w:val="00480025"/>
    <w:rsid w:val="004807F7"/>
    <w:rsid w:val="00480BE5"/>
    <w:rsid w:val="00480C33"/>
    <w:rsid w:val="00480DA6"/>
    <w:rsid w:val="00480F94"/>
    <w:rsid w:val="004810C9"/>
    <w:rsid w:val="00481954"/>
    <w:rsid w:val="00481BCA"/>
    <w:rsid w:val="00481C02"/>
    <w:rsid w:val="00481C97"/>
    <w:rsid w:val="0048214A"/>
    <w:rsid w:val="004822DD"/>
    <w:rsid w:val="00482796"/>
    <w:rsid w:val="004828EC"/>
    <w:rsid w:val="00482F14"/>
    <w:rsid w:val="0048326F"/>
    <w:rsid w:val="004833ED"/>
    <w:rsid w:val="004834EF"/>
    <w:rsid w:val="004835FA"/>
    <w:rsid w:val="0048364C"/>
    <w:rsid w:val="00483B67"/>
    <w:rsid w:val="00483DAB"/>
    <w:rsid w:val="00483FB0"/>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41"/>
    <w:rsid w:val="0048613E"/>
    <w:rsid w:val="0048617F"/>
    <w:rsid w:val="004861D8"/>
    <w:rsid w:val="004863E7"/>
    <w:rsid w:val="00486B07"/>
    <w:rsid w:val="0048725B"/>
    <w:rsid w:val="00487E0F"/>
    <w:rsid w:val="004900A0"/>
    <w:rsid w:val="004902E2"/>
    <w:rsid w:val="00490380"/>
    <w:rsid w:val="004906F2"/>
    <w:rsid w:val="004909F4"/>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80C"/>
    <w:rsid w:val="0049285F"/>
    <w:rsid w:val="00492C9A"/>
    <w:rsid w:val="00492E99"/>
    <w:rsid w:val="00492FCB"/>
    <w:rsid w:val="00493050"/>
    <w:rsid w:val="00493052"/>
    <w:rsid w:val="00493311"/>
    <w:rsid w:val="00493333"/>
    <w:rsid w:val="0049355C"/>
    <w:rsid w:val="004938FF"/>
    <w:rsid w:val="00494024"/>
    <w:rsid w:val="004943C4"/>
    <w:rsid w:val="004944F4"/>
    <w:rsid w:val="00494682"/>
    <w:rsid w:val="004948D5"/>
    <w:rsid w:val="00494A82"/>
    <w:rsid w:val="00494AA5"/>
    <w:rsid w:val="00494B28"/>
    <w:rsid w:val="00494C65"/>
    <w:rsid w:val="004950CD"/>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737"/>
    <w:rsid w:val="00497913"/>
    <w:rsid w:val="00497BCF"/>
    <w:rsid w:val="00497E20"/>
    <w:rsid w:val="004A030C"/>
    <w:rsid w:val="004A04CB"/>
    <w:rsid w:val="004A063A"/>
    <w:rsid w:val="004A07C3"/>
    <w:rsid w:val="004A0814"/>
    <w:rsid w:val="004A097D"/>
    <w:rsid w:val="004A0A56"/>
    <w:rsid w:val="004A0FED"/>
    <w:rsid w:val="004A1125"/>
    <w:rsid w:val="004A151E"/>
    <w:rsid w:val="004A19D5"/>
    <w:rsid w:val="004A1A1D"/>
    <w:rsid w:val="004A1AA0"/>
    <w:rsid w:val="004A1B5E"/>
    <w:rsid w:val="004A1D18"/>
    <w:rsid w:val="004A23B8"/>
    <w:rsid w:val="004A252D"/>
    <w:rsid w:val="004A270A"/>
    <w:rsid w:val="004A2843"/>
    <w:rsid w:val="004A2C2E"/>
    <w:rsid w:val="004A2C3D"/>
    <w:rsid w:val="004A3324"/>
    <w:rsid w:val="004A33B6"/>
    <w:rsid w:val="004A3481"/>
    <w:rsid w:val="004A35B6"/>
    <w:rsid w:val="004A37AF"/>
    <w:rsid w:val="004A3CF0"/>
    <w:rsid w:val="004A3D31"/>
    <w:rsid w:val="004A3DAC"/>
    <w:rsid w:val="004A4227"/>
    <w:rsid w:val="004A43F4"/>
    <w:rsid w:val="004A4585"/>
    <w:rsid w:val="004A51E7"/>
    <w:rsid w:val="004A5474"/>
    <w:rsid w:val="004A55D2"/>
    <w:rsid w:val="004A59DE"/>
    <w:rsid w:val="004A5AA5"/>
    <w:rsid w:val="004A5B06"/>
    <w:rsid w:val="004A5C25"/>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00"/>
    <w:rsid w:val="004A73A6"/>
    <w:rsid w:val="004A7707"/>
    <w:rsid w:val="004A78A7"/>
    <w:rsid w:val="004A78E3"/>
    <w:rsid w:val="004A7EB4"/>
    <w:rsid w:val="004B036F"/>
    <w:rsid w:val="004B0418"/>
    <w:rsid w:val="004B04EC"/>
    <w:rsid w:val="004B060C"/>
    <w:rsid w:val="004B083D"/>
    <w:rsid w:val="004B1894"/>
    <w:rsid w:val="004B18DA"/>
    <w:rsid w:val="004B1DF4"/>
    <w:rsid w:val="004B2017"/>
    <w:rsid w:val="004B219F"/>
    <w:rsid w:val="004B21DF"/>
    <w:rsid w:val="004B236A"/>
    <w:rsid w:val="004B251B"/>
    <w:rsid w:val="004B27A7"/>
    <w:rsid w:val="004B27EA"/>
    <w:rsid w:val="004B28F2"/>
    <w:rsid w:val="004B29DB"/>
    <w:rsid w:val="004B31FB"/>
    <w:rsid w:val="004B3956"/>
    <w:rsid w:val="004B3A0B"/>
    <w:rsid w:val="004B3C51"/>
    <w:rsid w:val="004B3D17"/>
    <w:rsid w:val="004B3DBD"/>
    <w:rsid w:val="004B3F56"/>
    <w:rsid w:val="004B411D"/>
    <w:rsid w:val="004B46E8"/>
    <w:rsid w:val="004B4B22"/>
    <w:rsid w:val="004B4C57"/>
    <w:rsid w:val="004B4F3F"/>
    <w:rsid w:val="004B4FFC"/>
    <w:rsid w:val="004B52A2"/>
    <w:rsid w:val="004B599A"/>
    <w:rsid w:val="004B5C06"/>
    <w:rsid w:val="004B6396"/>
    <w:rsid w:val="004B667E"/>
    <w:rsid w:val="004B6A13"/>
    <w:rsid w:val="004B6E17"/>
    <w:rsid w:val="004B71EF"/>
    <w:rsid w:val="004B7249"/>
    <w:rsid w:val="004B73AD"/>
    <w:rsid w:val="004B74DA"/>
    <w:rsid w:val="004B7848"/>
    <w:rsid w:val="004B7A52"/>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8C4"/>
    <w:rsid w:val="004C39C5"/>
    <w:rsid w:val="004C3CC5"/>
    <w:rsid w:val="004C3F7F"/>
    <w:rsid w:val="004C3FC8"/>
    <w:rsid w:val="004C4189"/>
    <w:rsid w:val="004C498D"/>
    <w:rsid w:val="004C4E2E"/>
    <w:rsid w:val="004C5190"/>
    <w:rsid w:val="004C522C"/>
    <w:rsid w:val="004C5449"/>
    <w:rsid w:val="004C5566"/>
    <w:rsid w:val="004C57AB"/>
    <w:rsid w:val="004C57EC"/>
    <w:rsid w:val="004C59CC"/>
    <w:rsid w:val="004C60AA"/>
    <w:rsid w:val="004C617C"/>
    <w:rsid w:val="004C637A"/>
    <w:rsid w:val="004C67D7"/>
    <w:rsid w:val="004C6DBE"/>
    <w:rsid w:val="004C7002"/>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24C"/>
    <w:rsid w:val="004D22D8"/>
    <w:rsid w:val="004D27D3"/>
    <w:rsid w:val="004D29D5"/>
    <w:rsid w:val="004D2B29"/>
    <w:rsid w:val="004D2D8C"/>
    <w:rsid w:val="004D2D8E"/>
    <w:rsid w:val="004D2EAB"/>
    <w:rsid w:val="004D2F80"/>
    <w:rsid w:val="004D3103"/>
    <w:rsid w:val="004D3576"/>
    <w:rsid w:val="004D3697"/>
    <w:rsid w:val="004D397E"/>
    <w:rsid w:val="004D401A"/>
    <w:rsid w:val="004D4051"/>
    <w:rsid w:val="004D4232"/>
    <w:rsid w:val="004D42FB"/>
    <w:rsid w:val="004D4786"/>
    <w:rsid w:val="004D48B4"/>
    <w:rsid w:val="004D4B21"/>
    <w:rsid w:val="004D4C82"/>
    <w:rsid w:val="004D4EF1"/>
    <w:rsid w:val="004D504A"/>
    <w:rsid w:val="004D51C4"/>
    <w:rsid w:val="004D531B"/>
    <w:rsid w:val="004D57B0"/>
    <w:rsid w:val="004D57D2"/>
    <w:rsid w:val="004D5A11"/>
    <w:rsid w:val="004D5B75"/>
    <w:rsid w:val="004D5C3C"/>
    <w:rsid w:val="004D5E39"/>
    <w:rsid w:val="004D5E60"/>
    <w:rsid w:val="004D6147"/>
    <w:rsid w:val="004D630C"/>
    <w:rsid w:val="004D67AD"/>
    <w:rsid w:val="004D6B5F"/>
    <w:rsid w:val="004D6CD6"/>
    <w:rsid w:val="004D6ED0"/>
    <w:rsid w:val="004D77F6"/>
    <w:rsid w:val="004D78CC"/>
    <w:rsid w:val="004D78CD"/>
    <w:rsid w:val="004E0AB7"/>
    <w:rsid w:val="004E0BAD"/>
    <w:rsid w:val="004E101F"/>
    <w:rsid w:val="004E1753"/>
    <w:rsid w:val="004E1B80"/>
    <w:rsid w:val="004E1BB3"/>
    <w:rsid w:val="004E1BE2"/>
    <w:rsid w:val="004E1FD8"/>
    <w:rsid w:val="004E205E"/>
    <w:rsid w:val="004E20E3"/>
    <w:rsid w:val="004E2144"/>
    <w:rsid w:val="004E2AF8"/>
    <w:rsid w:val="004E2E69"/>
    <w:rsid w:val="004E2EAF"/>
    <w:rsid w:val="004E2F9B"/>
    <w:rsid w:val="004E32AE"/>
    <w:rsid w:val="004E3448"/>
    <w:rsid w:val="004E3463"/>
    <w:rsid w:val="004E3B20"/>
    <w:rsid w:val="004E3DFC"/>
    <w:rsid w:val="004E3FC5"/>
    <w:rsid w:val="004E430D"/>
    <w:rsid w:val="004E43AF"/>
    <w:rsid w:val="004E45B3"/>
    <w:rsid w:val="004E4653"/>
    <w:rsid w:val="004E494C"/>
    <w:rsid w:val="004E4A23"/>
    <w:rsid w:val="004E4E10"/>
    <w:rsid w:val="004E56E9"/>
    <w:rsid w:val="004E581A"/>
    <w:rsid w:val="004E5E62"/>
    <w:rsid w:val="004E5EEA"/>
    <w:rsid w:val="004E6130"/>
    <w:rsid w:val="004E652E"/>
    <w:rsid w:val="004E67A7"/>
    <w:rsid w:val="004E68BC"/>
    <w:rsid w:val="004E691D"/>
    <w:rsid w:val="004E6C56"/>
    <w:rsid w:val="004E6EF2"/>
    <w:rsid w:val="004E736F"/>
    <w:rsid w:val="004E7443"/>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2F4F"/>
    <w:rsid w:val="004F338E"/>
    <w:rsid w:val="004F35C5"/>
    <w:rsid w:val="004F36C3"/>
    <w:rsid w:val="004F37D2"/>
    <w:rsid w:val="004F3807"/>
    <w:rsid w:val="004F3A14"/>
    <w:rsid w:val="004F3DF7"/>
    <w:rsid w:val="004F41A0"/>
    <w:rsid w:val="004F41DF"/>
    <w:rsid w:val="004F4613"/>
    <w:rsid w:val="004F4697"/>
    <w:rsid w:val="004F46B4"/>
    <w:rsid w:val="004F477C"/>
    <w:rsid w:val="004F4945"/>
    <w:rsid w:val="004F4D59"/>
    <w:rsid w:val="004F4E3A"/>
    <w:rsid w:val="004F4F3C"/>
    <w:rsid w:val="004F4FDB"/>
    <w:rsid w:val="004F5570"/>
    <w:rsid w:val="004F572B"/>
    <w:rsid w:val="004F5750"/>
    <w:rsid w:val="004F5AF3"/>
    <w:rsid w:val="004F5BDF"/>
    <w:rsid w:val="004F5F14"/>
    <w:rsid w:val="004F611F"/>
    <w:rsid w:val="004F615B"/>
    <w:rsid w:val="004F6195"/>
    <w:rsid w:val="004F647C"/>
    <w:rsid w:val="004F64B3"/>
    <w:rsid w:val="004F656F"/>
    <w:rsid w:val="004F65A0"/>
    <w:rsid w:val="004F6843"/>
    <w:rsid w:val="004F6B31"/>
    <w:rsid w:val="004F6EFA"/>
    <w:rsid w:val="004F6F7B"/>
    <w:rsid w:val="004F7829"/>
    <w:rsid w:val="004F7903"/>
    <w:rsid w:val="004F7D99"/>
    <w:rsid w:val="00500001"/>
    <w:rsid w:val="00500284"/>
    <w:rsid w:val="0050099B"/>
    <w:rsid w:val="00500D0B"/>
    <w:rsid w:val="00500EFB"/>
    <w:rsid w:val="00500F0A"/>
    <w:rsid w:val="00500F1F"/>
    <w:rsid w:val="005011FB"/>
    <w:rsid w:val="005015B0"/>
    <w:rsid w:val="005015C9"/>
    <w:rsid w:val="005017FC"/>
    <w:rsid w:val="00501AEE"/>
    <w:rsid w:val="0050221A"/>
    <w:rsid w:val="0050230D"/>
    <w:rsid w:val="00502312"/>
    <w:rsid w:val="00502652"/>
    <w:rsid w:val="0050280E"/>
    <w:rsid w:val="00502B4F"/>
    <w:rsid w:val="005033D2"/>
    <w:rsid w:val="0050355F"/>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312"/>
    <w:rsid w:val="005056A9"/>
    <w:rsid w:val="005057F7"/>
    <w:rsid w:val="00505BAC"/>
    <w:rsid w:val="00505BB6"/>
    <w:rsid w:val="00505CE8"/>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137"/>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719"/>
    <w:rsid w:val="00513D52"/>
    <w:rsid w:val="00513D86"/>
    <w:rsid w:val="00514280"/>
    <w:rsid w:val="005142CF"/>
    <w:rsid w:val="00514357"/>
    <w:rsid w:val="005147A6"/>
    <w:rsid w:val="00514A23"/>
    <w:rsid w:val="00514BF0"/>
    <w:rsid w:val="0051524E"/>
    <w:rsid w:val="00515331"/>
    <w:rsid w:val="005154EC"/>
    <w:rsid w:val="00516477"/>
    <w:rsid w:val="0051685E"/>
    <w:rsid w:val="00516929"/>
    <w:rsid w:val="00516996"/>
    <w:rsid w:val="00516B0D"/>
    <w:rsid w:val="00516B20"/>
    <w:rsid w:val="00516FE1"/>
    <w:rsid w:val="005174ED"/>
    <w:rsid w:val="005178C3"/>
    <w:rsid w:val="005179DF"/>
    <w:rsid w:val="00517ACE"/>
    <w:rsid w:val="00517F1B"/>
    <w:rsid w:val="00517F74"/>
    <w:rsid w:val="00517FF3"/>
    <w:rsid w:val="0052007A"/>
    <w:rsid w:val="005202F4"/>
    <w:rsid w:val="005203D4"/>
    <w:rsid w:val="00520750"/>
    <w:rsid w:val="00520A48"/>
    <w:rsid w:val="00520A70"/>
    <w:rsid w:val="00520B7D"/>
    <w:rsid w:val="00520CE8"/>
    <w:rsid w:val="00520D91"/>
    <w:rsid w:val="00520EB5"/>
    <w:rsid w:val="0052104C"/>
    <w:rsid w:val="0052137D"/>
    <w:rsid w:val="005218C8"/>
    <w:rsid w:val="005218FF"/>
    <w:rsid w:val="00521E97"/>
    <w:rsid w:val="00521EFD"/>
    <w:rsid w:val="00521FB6"/>
    <w:rsid w:val="005224EB"/>
    <w:rsid w:val="00522535"/>
    <w:rsid w:val="005226AD"/>
    <w:rsid w:val="00522829"/>
    <w:rsid w:val="00522843"/>
    <w:rsid w:val="00523318"/>
    <w:rsid w:val="00523574"/>
    <w:rsid w:val="00523678"/>
    <w:rsid w:val="0052379F"/>
    <w:rsid w:val="0052389D"/>
    <w:rsid w:val="00524385"/>
    <w:rsid w:val="0052449B"/>
    <w:rsid w:val="0052463C"/>
    <w:rsid w:val="00524952"/>
    <w:rsid w:val="00524E63"/>
    <w:rsid w:val="00524EDF"/>
    <w:rsid w:val="00525390"/>
    <w:rsid w:val="005254E1"/>
    <w:rsid w:val="00525603"/>
    <w:rsid w:val="00525ACE"/>
    <w:rsid w:val="00525C6E"/>
    <w:rsid w:val="00525E83"/>
    <w:rsid w:val="00526A19"/>
    <w:rsid w:val="00526A8B"/>
    <w:rsid w:val="0052727C"/>
    <w:rsid w:val="005272B5"/>
    <w:rsid w:val="005273C1"/>
    <w:rsid w:val="00527549"/>
    <w:rsid w:val="00527853"/>
    <w:rsid w:val="00527A46"/>
    <w:rsid w:val="00527B9E"/>
    <w:rsid w:val="00527D98"/>
    <w:rsid w:val="0053037C"/>
    <w:rsid w:val="00530506"/>
    <w:rsid w:val="005305FE"/>
    <w:rsid w:val="00530761"/>
    <w:rsid w:val="00530ED6"/>
    <w:rsid w:val="00531072"/>
    <w:rsid w:val="005310E7"/>
    <w:rsid w:val="005310F0"/>
    <w:rsid w:val="0053130B"/>
    <w:rsid w:val="00531323"/>
    <w:rsid w:val="00531A86"/>
    <w:rsid w:val="005321CF"/>
    <w:rsid w:val="00532334"/>
    <w:rsid w:val="00532671"/>
    <w:rsid w:val="00532CDF"/>
    <w:rsid w:val="00532E1C"/>
    <w:rsid w:val="005332B1"/>
    <w:rsid w:val="005333B7"/>
    <w:rsid w:val="0053391D"/>
    <w:rsid w:val="005339A9"/>
    <w:rsid w:val="00533A6A"/>
    <w:rsid w:val="00533F9B"/>
    <w:rsid w:val="00534669"/>
    <w:rsid w:val="00534D77"/>
    <w:rsid w:val="00534F00"/>
    <w:rsid w:val="0053572A"/>
    <w:rsid w:val="00535BCB"/>
    <w:rsid w:val="00535D89"/>
    <w:rsid w:val="00535EF0"/>
    <w:rsid w:val="00535F72"/>
    <w:rsid w:val="00536533"/>
    <w:rsid w:val="0053686B"/>
    <w:rsid w:val="00536B2D"/>
    <w:rsid w:val="00537544"/>
    <w:rsid w:val="00537909"/>
    <w:rsid w:val="00537C2D"/>
    <w:rsid w:val="005401F4"/>
    <w:rsid w:val="005405DB"/>
    <w:rsid w:val="00540711"/>
    <w:rsid w:val="005409FF"/>
    <w:rsid w:val="00540B8A"/>
    <w:rsid w:val="00540E00"/>
    <w:rsid w:val="00540F23"/>
    <w:rsid w:val="00540F55"/>
    <w:rsid w:val="00541387"/>
    <w:rsid w:val="00541A29"/>
    <w:rsid w:val="00541D49"/>
    <w:rsid w:val="00541DA7"/>
    <w:rsid w:val="00542683"/>
    <w:rsid w:val="00542892"/>
    <w:rsid w:val="00542E50"/>
    <w:rsid w:val="00543184"/>
    <w:rsid w:val="005432A3"/>
    <w:rsid w:val="00543453"/>
    <w:rsid w:val="00543716"/>
    <w:rsid w:val="00543BE1"/>
    <w:rsid w:val="0054405B"/>
    <w:rsid w:val="0054482C"/>
    <w:rsid w:val="00544953"/>
    <w:rsid w:val="00544E7D"/>
    <w:rsid w:val="00544E82"/>
    <w:rsid w:val="00545106"/>
    <w:rsid w:val="0054514F"/>
    <w:rsid w:val="0054544A"/>
    <w:rsid w:val="005457ED"/>
    <w:rsid w:val="005459FE"/>
    <w:rsid w:val="00545B77"/>
    <w:rsid w:val="00545B82"/>
    <w:rsid w:val="00545F4B"/>
    <w:rsid w:val="00546043"/>
    <w:rsid w:val="005461EA"/>
    <w:rsid w:val="005468E2"/>
    <w:rsid w:val="00546BEA"/>
    <w:rsid w:val="00546BEC"/>
    <w:rsid w:val="005470E5"/>
    <w:rsid w:val="00547606"/>
    <w:rsid w:val="00547748"/>
    <w:rsid w:val="0054775E"/>
    <w:rsid w:val="00547A49"/>
    <w:rsid w:val="00547A65"/>
    <w:rsid w:val="00547A74"/>
    <w:rsid w:val="00547EEE"/>
    <w:rsid w:val="00550527"/>
    <w:rsid w:val="00550621"/>
    <w:rsid w:val="00550786"/>
    <w:rsid w:val="00550953"/>
    <w:rsid w:val="00551126"/>
    <w:rsid w:val="00551230"/>
    <w:rsid w:val="0055134C"/>
    <w:rsid w:val="005513D8"/>
    <w:rsid w:val="00551568"/>
    <w:rsid w:val="005515F0"/>
    <w:rsid w:val="0055165B"/>
    <w:rsid w:val="005517F1"/>
    <w:rsid w:val="00551825"/>
    <w:rsid w:val="00551E7C"/>
    <w:rsid w:val="00552128"/>
    <w:rsid w:val="00552374"/>
    <w:rsid w:val="00552FB1"/>
    <w:rsid w:val="005530DF"/>
    <w:rsid w:val="00553367"/>
    <w:rsid w:val="005535AD"/>
    <w:rsid w:val="005536C1"/>
    <w:rsid w:val="00553A1C"/>
    <w:rsid w:val="00553C51"/>
    <w:rsid w:val="00553D6A"/>
    <w:rsid w:val="00553EF1"/>
    <w:rsid w:val="00553F7B"/>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9E1"/>
    <w:rsid w:val="00557AFD"/>
    <w:rsid w:val="0056019F"/>
    <w:rsid w:val="00560690"/>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3EC"/>
    <w:rsid w:val="005636F9"/>
    <w:rsid w:val="005638F6"/>
    <w:rsid w:val="00563A54"/>
    <w:rsid w:val="00563AF8"/>
    <w:rsid w:val="00563E3B"/>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A8"/>
    <w:rsid w:val="00567198"/>
    <w:rsid w:val="00567332"/>
    <w:rsid w:val="005675EA"/>
    <w:rsid w:val="0056771A"/>
    <w:rsid w:val="00567CB3"/>
    <w:rsid w:val="00567EB1"/>
    <w:rsid w:val="00567FCB"/>
    <w:rsid w:val="00570652"/>
    <w:rsid w:val="00570668"/>
    <w:rsid w:val="00570BF5"/>
    <w:rsid w:val="0057111D"/>
    <w:rsid w:val="00571331"/>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4C0"/>
    <w:rsid w:val="00574A98"/>
    <w:rsid w:val="00574CE8"/>
    <w:rsid w:val="00574DC4"/>
    <w:rsid w:val="00574E56"/>
    <w:rsid w:val="00574F5C"/>
    <w:rsid w:val="00574FB9"/>
    <w:rsid w:val="00575554"/>
    <w:rsid w:val="005755B0"/>
    <w:rsid w:val="00575BAF"/>
    <w:rsid w:val="00575BD6"/>
    <w:rsid w:val="00575BFA"/>
    <w:rsid w:val="00575E4E"/>
    <w:rsid w:val="005764CD"/>
    <w:rsid w:val="005765AA"/>
    <w:rsid w:val="0057678B"/>
    <w:rsid w:val="0057690D"/>
    <w:rsid w:val="00576C4A"/>
    <w:rsid w:val="00576D64"/>
    <w:rsid w:val="005774A4"/>
    <w:rsid w:val="005775CD"/>
    <w:rsid w:val="00577665"/>
    <w:rsid w:val="00577738"/>
    <w:rsid w:val="00577F5A"/>
    <w:rsid w:val="00580096"/>
    <w:rsid w:val="005800EF"/>
    <w:rsid w:val="005806F5"/>
    <w:rsid w:val="005807D1"/>
    <w:rsid w:val="00580E27"/>
    <w:rsid w:val="00580E67"/>
    <w:rsid w:val="00580ED6"/>
    <w:rsid w:val="005813EE"/>
    <w:rsid w:val="00581533"/>
    <w:rsid w:val="00581748"/>
    <w:rsid w:val="00581B8F"/>
    <w:rsid w:val="00582070"/>
    <w:rsid w:val="005820F5"/>
    <w:rsid w:val="0058243E"/>
    <w:rsid w:val="0058249E"/>
    <w:rsid w:val="005830AD"/>
    <w:rsid w:val="005832AF"/>
    <w:rsid w:val="005834F8"/>
    <w:rsid w:val="00583887"/>
    <w:rsid w:val="00583994"/>
    <w:rsid w:val="00583C41"/>
    <w:rsid w:val="005840C6"/>
    <w:rsid w:val="00584195"/>
    <w:rsid w:val="005845A7"/>
    <w:rsid w:val="0058476F"/>
    <w:rsid w:val="00584A4C"/>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2040"/>
    <w:rsid w:val="0059204D"/>
    <w:rsid w:val="0059232F"/>
    <w:rsid w:val="005924B5"/>
    <w:rsid w:val="00592A03"/>
    <w:rsid w:val="00592A65"/>
    <w:rsid w:val="005931C7"/>
    <w:rsid w:val="005933CB"/>
    <w:rsid w:val="0059341E"/>
    <w:rsid w:val="0059342B"/>
    <w:rsid w:val="0059346B"/>
    <w:rsid w:val="005937AD"/>
    <w:rsid w:val="00593E5B"/>
    <w:rsid w:val="005941C8"/>
    <w:rsid w:val="005943F0"/>
    <w:rsid w:val="00594696"/>
    <w:rsid w:val="00594726"/>
    <w:rsid w:val="00594DDD"/>
    <w:rsid w:val="00594E47"/>
    <w:rsid w:val="0059515C"/>
    <w:rsid w:val="005953F5"/>
    <w:rsid w:val="00595ADA"/>
    <w:rsid w:val="00595F57"/>
    <w:rsid w:val="00595F8D"/>
    <w:rsid w:val="005961DC"/>
    <w:rsid w:val="005969AE"/>
    <w:rsid w:val="00596A27"/>
    <w:rsid w:val="00596A9B"/>
    <w:rsid w:val="00596D88"/>
    <w:rsid w:val="00596E90"/>
    <w:rsid w:val="00597016"/>
    <w:rsid w:val="0059723A"/>
    <w:rsid w:val="00597277"/>
    <w:rsid w:val="005972BC"/>
    <w:rsid w:val="00597339"/>
    <w:rsid w:val="00597626"/>
    <w:rsid w:val="005978C6"/>
    <w:rsid w:val="00597CFB"/>
    <w:rsid w:val="00597D10"/>
    <w:rsid w:val="00597DAE"/>
    <w:rsid w:val="00597DDF"/>
    <w:rsid w:val="00597E6E"/>
    <w:rsid w:val="005A010A"/>
    <w:rsid w:val="005A01BF"/>
    <w:rsid w:val="005A03F4"/>
    <w:rsid w:val="005A063C"/>
    <w:rsid w:val="005A0904"/>
    <w:rsid w:val="005A0D1B"/>
    <w:rsid w:val="005A0FE7"/>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0D"/>
    <w:rsid w:val="005A2E9D"/>
    <w:rsid w:val="005A30C7"/>
    <w:rsid w:val="005A3337"/>
    <w:rsid w:val="005A3647"/>
    <w:rsid w:val="005A3765"/>
    <w:rsid w:val="005A3AAC"/>
    <w:rsid w:val="005A40F9"/>
    <w:rsid w:val="005A4185"/>
    <w:rsid w:val="005A45B9"/>
    <w:rsid w:val="005A48C4"/>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705"/>
    <w:rsid w:val="005B17A7"/>
    <w:rsid w:val="005B1F09"/>
    <w:rsid w:val="005B2204"/>
    <w:rsid w:val="005B2365"/>
    <w:rsid w:val="005B2AB7"/>
    <w:rsid w:val="005B32BA"/>
    <w:rsid w:val="005B37AE"/>
    <w:rsid w:val="005B3A40"/>
    <w:rsid w:val="005B3D59"/>
    <w:rsid w:val="005B4257"/>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03E"/>
    <w:rsid w:val="005C012F"/>
    <w:rsid w:val="005C0262"/>
    <w:rsid w:val="005C0470"/>
    <w:rsid w:val="005C07BD"/>
    <w:rsid w:val="005C0959"/>
    <w:rsid w:val="005C09D9"/>
    <w:rsid w:val="005C09FE"/>
    <w:rsid w:val="005C0C1F"/>
    <w:rsid w:val="005C0C2D"/>
    <w:rsid w:val="005C0F0D"/>
    <w:rsid w:val="005C0FD0"/>
    <w:rsid w:val="005C16C4"/>
    <w:rsid w:val="005C2315"/>
    <w:rsid w:val="005C292C"/>
    <w:rsid w:val="005C33FF"/>
    <w:rsid w:val="005C40F2"/>
    <w:rsid w:val="005C4365"/>
    <w:rsid w:val="005C444B"/>
    <w:rsid w:val="005C4698"/>
    <w:rsid w:val="005C4AA1"/>
    <w:rsid w:val="005C544E"/>
    <w:rsid w:val="005C560B"/>
    <w:rsid w:val="005C570C"/>
    <w:rsid w:val="005C5A95"/>
    <w:rsid w:val="005C5AD6"/>
    <w:rsid w:val="005C5B2E"/>
    <w:rsid w:val="005C5D32"/>
    <w:rsid w:val="005C6189"/>
    <w:rsid w:val="005C63A1"/>
    <w:rsid w:val="005C6F30"/>
    <w:rsid w:val="005C750C"/>
    <w:rsid w:val="005C7F0F"/>
    <w:rsid w:val="005D01F3"/>
    <w:rsid w:val="005D0543"/>
    <w:rsid w:val="005D06B9"/>
    <w:rsid w:val="005D08BA"/>
    <w:rsid w:val="005D12E7"/>
    <w:rsid w:val="005D14D3"/>
    <w:rsid w:val="005D14D7"/>
    <w:rsid w:val="005D1546"/>
    <w:rsid w:val="005D1618"/>
    <w:rsid w:val="005D1923"/>
    <w:rsid w:val="005D1A26"/>
    <w:rsid w:val="005D2698"/>
    <w:rsid w:val="005D2988"/>
    <w:rsid w:val="005D2B54"/>
    <w:rsid w:val="005D2D6E"/>
    <w:rsid w:val="005D2F91"/>
    <w:rsid w:val="005D2FBB"/>
    <w:rsid w:val="005D3070"/>
    <w:rsid w:val="005D3289"/>
    <w:rsid w:val="005D32D4"/>
    <w:rsid w:val="005D3475"/>
    <w:rsid w:val="005D35B1"/>
    <w:rsid w:val="005D3743"/>
    <w:rsid w:val="005D392F"/>
    <w:rsid w:val="005D3E44"/>
    <w:rsid w:val="005D3FD5"/>
    <w:rsid w:val="005D4212"/>
    <w:rsid w:val="005D482D"/>
    <w:rsid w:val="005D495F"/>
    <w:rsid w:val="005D4B24"/>
    <w:rsid w:val="005D4EFA"/>
    <w:rsid w:val="005D5193"/>
    <w:rsid w:val="005D53AD"/>
    <w:rsid w:val="005D5536"/>
    <w:rsid w:val="005D576F"/>
    <w:rsid w:val="005D584F"/>
    <w:rsid w:val="005D5AAE"/>
    <w:rsid w:val="005D5C69"/>
    <w:rsid w:val="005D5C9C"/>
    <w:rsid w:val="005D6195"/>
    <w:rsid w:val="005D62DD"/>
    <w:rsid w:val="005D6475"/>
    <w:rsid w:val="005D6804"/>
    <w:rsid w:val="005D6C11"/>
    <w:rsid w:val="005D6D13"/>
    <w:rsid w:val="005D7176"/>
    <w:rsid w:val="005D7772"/>
    <w:rsid w:val="005D7AE1"/>
    <w:rsid w:val="005D7CC1"/>
    <w:rsid w:val="005D7CE1"/>
    <w:rsid w:val="005E028B"/>
    <w:rsid w:val="005E046B"/>
    <w:rsid w:val="005E076A"/>
    <w:rsid w:val="005E0958"/>
    <w:rsid w:val="005E1034"/>
    <w:rsid w:val="005E1258"/>
    <w:rsid w:val="005E14B9"/>
    <w:rsid w:val="005E1676"/>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DC4"/>
    <w:rsid w:val="005E6008"/>
    <w:rsid w:val="005E6667"/>
    <w:rsid w:val="005E6748"/>
    <w:rsid w:val="005E695D"/>
    <w:rsid w:val="005E6BD4"/>
    <w:rsid w:val="005E6E89"/>
    <w:rsid w:val="005E72F6"/>
    <w:rsid w:val="005E739D"/>
    <w:rsid w:val="005E7415"/>
    <w:rsid w:val="005E7460"/>
    <w:rsid w:val="005E792C"/>
    <w:rsid w:val="005E7DB9"/>
    <w:rsid w:val="005E7FD2"/>
    <w:rsid w:val="005E7FE5"/>
    <w:rsid w:val="005E7FE7"/>
    <w:rsid w:val="005F01F5"/>
    <w:rsid w:val="005F0389"/>
    <w:rsid w:val="005F045F"/>
    <w:rsid w:val="005F0C71"/>
    <w:rsid w:val="005F0E56"/>
    <w:rsid w:val="005F11A6"/>
    <w:rsid w:val="005F1302"/>
    <w:rsid w:val="005F141A"/>
    <w:rsid w:val="005F182C"/>
    <w:rsid w:val="005F188C"/>
    <w:rsid w:val="005F1AE3"/>
    <w:rsid w:val="005F1CE8"/>
    <w:rsid w:val="005F21B1"/>
    <w:rsid w:val="005F242A"/>
    <w:rsid w:val="005F258F"/>
    <w:rsid w:val="005F27AB"/>
    <w:rsid w:val="005F2C9F"/>
    <w:rsid w:val="005F2F19"/>
    <w:rsid w:val="005F3551"/>
    <w:rsid w:val="005F3A07"/>
    <w:rsid w:val="005F3D64"/>
    <w:rsid w:val="005F4175"/>
    <w:rsid w:val="005F454C"/>
    <w:rsid w:val="005F45DC"/>
    <w:rsid w:val="005F4B95"/>
    <w:rsid w:val="005F4C56"/>
    <w:rsid w:val="005F4CBB"/>
    <w:rsid w:val="005F4D3C"/>
    <w:rsid w:val="005F5414"/>
    <w:rsid w:val="005F55C2"/>
    <w:rsid w:val="005F566D"/>
    <w:rsid w:val="005F59F7"/>
    <w:rsid w:val="005F5F79"/>
    <w:rsid w:val="005F6326"/>
    <w:rsid w:val="005F6369"/>
    <w:rsid w:val="005F6617"/>
    <w:rsid w:val="005F6675"/>
    <w:rsid w:val="005F6CAD"/>
    <w:rsid w:val="005F6F91"/>
    <w:rsid w:val="005F70A0"/>
    <w:rsid w:val="005F710D"/>
    <w:rsid w:val="005F71C8"/>
    <w:rsid w:val="005F734D"/>
    <w:rsid w:val="005F7450"/>
    <w:rsid w:val="005F7711"/>
    <w:rsid w:val="005F7881"/>
    <w:rsid w:val="005F79A5"/>
    <w:rsid w:val="005F7A6B"/>
    <w:rsid w:val="005F7A9E"/>
    <w:rsid w:val="005F7B62"/>
    <w:rsid w:val="005F7BA0"/>
    <w:rsid w:val="005F7E5F"/>
    <w:rsid w:val="00600221"/>
    <w:rsid w:val="00600254"/>
    <w:rsid w:val="006002B5"/>
    <w:rsid w:val="00600BA9"/>
    <w:rsid w:val="00600C24"/>
    <w:rsid w:val="00600D00"/>
    <w:rsid w:val="00600E8C"/>
    <w:rsid w:val="00601062"/>
    <w:rsid w:val="00601386"/>
    <w:rsid w:val="006015C4"/>
    <w:rsid w:val="006018F2"/>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095"/>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5F47"/>
    <w:rsid w:val="00606121"/>
    <w:rsid w:val="0060618D"/>
    <w:rsid w:val="006061B9"/>
    <w:rsid w:val="006062CD"/>
    <w:rsid w:val="006063AA"/>
    <w:rsid w:val="00606AAE"/>
    <w:rsid w:val="00606FAC"/>
    <w:rsid w:val="00607400"/>
    <w:rsid w:val="0060759F"/>
    <w:rsid w:val="0060767B"/>
    <w:rsid w:val="0060767F"/>
    <w:rsid w:val="006076FC"/>
    <w:rsid w:val="00607892"/>
    <w:rsid w:val="00607D8C"/>
    <w:rsid w:val="006108A2"/>
    <w:rsid w:val="00610952"/>
    <w:rsid w:val="00610CFB"/>
    <w:rsid w:val="00610E39"/>
    <w:rsid w:val="006111F0"/>
    <w:rsid w:val="0061140E"/>
    <w:rsid w:val="0061158F"/>
    <w:rsid w:val="0061189C"/>
    <w:rsid w:val="006119B8"/>
    <w:rsid w:val="00611DD4"/>
    <w:rsid w:val="00611E9B"/>
    <w:rsid w:val="00611F15"/>
    <w:rsid w:val="00612324"/>
    <w:rsid w:val="00612500"/>
    <w:rsid w:val="006129D2"/>
    <w:rsid w:val="00612A57"/>
    <w:rsid w:val="00612A9D"/>
    <w:rsid w:val="00612E7E"/>
    <w:rsid w:val="00613B1D"/>
    <w:rsid w:val="00613B7F"/>
    <w:rsid w:val="00613C71"/>
    <w:rsid w:val="00613DDC"/>
    <w:rsid w:val="006142FE"/>
    <w:rsid w:val="00614528"/>
    <w:rsid w:val="00614595"/>
    <w:rsid w:val="0061469A"/>
    <w:rsid w:val="00614730"/>
    <w:rsid w:val="00614C87"/>
    <w:rsid w:val="00614D66"/>
    <w:rsid w:val="00614DF1"/>
    <w:rsid w:val="00615352"/>
    <w:rsid w:val="006155B4"/>
    <w:rsid w:val="00615778"/>
    <w:rsid w:val="00615914"/>
    <w:rsid w:val="00615CC8"/>
    <w:rsid w:val="00615CFE"/>
    <w:rsid w:val="00615DAE"/>
    <w:rsid w:val="00615F92"/>
    <w:rsid w:val="006162AF"/>
    <w:rsid w:val="0061634B"/>
    <w:rsid w:val="00616D1D"/>
    <w:rsid w:val="00617114"/>
    <w:rsid w:val="00617245"/>
    <w:rsid w:val="006178E1"/>
    <w:rsid w:val="00617E6E"/>
    <w:rsid w:val="00617EF6"/>
    <w:rsid w:val="00617F56"/>
    <w:rsid w:val="00620052"/>
    <w:rsid w:val="006201B1"/>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50"/>
    <w:rsid w:val="006222A5"/>
    <w:rsid w:val="00622446"/>
    <w:rsid w:val="00622C7F"/>
    <w:rsid w:val="00622D22"/>
    <w:rsid w:val="00622F80"/>
    <w:rsid w:val="006230D3"/>
    <w:rsid w:val="006231AF"/>
    <w:rsid w:val="006231C3"/>
    <w:rsid w:val="00623216"/>
    <w:rsid w:val="00623513"/>
    <w:rsid w:val="006236AC"/>
    <w:rsid w:val="006238EC"/>
    <w:rsid w:val="00623BCB"/>
    <w:rsid w:val="00623D60"/>
    <w:rsid w:val="00623EC1"/>
    <w:rsid w:val="0062402A"/>
    <w:rsid w:val="0062426B"/>
    <w:rsid w:val="0062431B"/>
    <w:rsid w:val="00624750"/>
    <w:rsid w:val="0062482B"/>
    <w:rsid w:val="00624BC5"/>
    <w:rsid w:val="00624CA9"/>
    <w:rsid w:val="00624D0D"/>
    <w:rsid w:val="00624E82"/>
    <w:rsid w:val="00624EAD"/>
    <w:rsid w:val="006250A2"/>
    <w:rsid w:val="0062510C"/>
    <w:rsid w:val="00625167"/>
    <w:rsid w:val="006253DA"/>
    <w:rsid w:val="006254A8"/>
    <w:rsid w:val="00625543"/>
    <w:rsid w:val="00625691"/>
    <w:rsid w:val="006256FE"/>
    <w:rsid w:val="006259ED"/>
    <w:rsid w:val="00625A1F"/>
    <w:rsid w:val="00625C40"/>
    <w:rsid w:val="00625E4C"/>
    <w:rsid w:val="00626083"/>
    <w:rsid w:val="00626085"/>
    <w:rsid w:val="00626199"/>
    <w:rsid w:val="00626211"/>
    <w:rsid w:val="0062624A"/>
    <w:rsid w:val="006262DC"/>
    <w:rsid w:val="0062649D"/>
    <w:rsid w:val="0062668A"/>
    <w:rsid w:val="00626712"/>
    <w:rsid w:val="00626980"/>
    <w:rsid w:val="00626E08"/>
    <w:rsid w:val="00626FE5"/>
    <w:rsid w:val="006277EA"/>
    <w:rsid w:val="00627C9E"/>
    <w:rsid w:val="00627F97"/>
    <w:rsid w:val="006302BC"/>
    <w:rsid w:val="006303F2"/>
    <w:rsid w:val="00630461"/>
    <w:rsid w:val="0063077C"/>
    <w:rsid w:val="00630951"/>
    <w:rsid w:val="00630DB6"/>
    <w:rsid w:val="00631051"/>
    <w:rsid w:val="00631342"/>
    <w:rsid w:val="00631348"/>
    <w:rsid w:val="00631494"/>
    <w:rsid w:val="0063153C"/>
    <w:rsid w:val="0063156F"/>
    <w:rsid w:val="006315E2"/>
    <w:rsid w:val="006315F0"/>
    <w:rsid w:val="00631A72"/>
    <w:rsid w:val="00632A50"/>
    <w:rsid w:val="00632D56"/>
    <w:rsid w:val="00632EA2"/>
    <w:rsid w:val="00632EA3"/>
    <w:rsid w:val="00632ECE"/>
    <w:rsid w:val="00632FB3"/>
    <w:rsid w:val="00633071"/>
    <w:rsid w:val="00633136"/>
    <w:rsid w:val="0063315B"/>
    <w:rsid w:val="0063374D"/>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01B9"/>
    <w:rsid w:val="0064091A"/>
    <w:rsid w:val="006411D6"/>
    <w:rsid w:val="006413E4"/>
    <w:rsid w:val="006417D0"/>
    <w:rsid w:val="00641D31"/>
    <w:rsid w:val="006426A1"/>
    <w:rsid w:val="00642831"/>
    <w:rsid w:val="006430CE"/>
    <w:rsid w:val="006431ED"/>
    <w:rsid w:val="006433FE"/>
    <w:rsid w:val="006435F3"/>
    <w:rsid w:val="006439DD"/>
    <w:rsid w:val="00643BF4"/>
    <w:rsid w:val="0064404B"/>
    <w:rsid w:val="006441FE"/>
    <w:rsid w:val="0064424A"/>
    <w:rsid w:val="00644263"/>
    <w:rsid w:val="0064436D"/>
    <w:rsid w:val="006446D9"/>
    <w:rsid w:val="006447B2"/>
    <w:rsid w:val="006450B0"/>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47D93"/>
    <w:rsid w:val="006501B0"/>
    <w:rsid w:val="0065036A"/>
    <w:rsid w:val="006505A6"/>
    <w:rsid w:val="00650928"/>
    <w:rsid w:val="006509B9"/>
    <w:rsid w:val="00650A81"/>
    <w:rsid w:val="00650B49"/>
    <w:rsid w:val="00650FA4"/>
    <w:rsid w:val="0065149E"/>
    <w:rsid w:val="0065160D"/>
    <w:rsid w:val="0065168C"/>
    <w:rsid w:val="00651814"/>
    <w:rsid w:val="00651DAC"/>
    <w:rsid w:val="00651FDC"/>
    <w:rsid w:val="0065206E"/>
    <w:rsid w:val="0065232C"/>
    <w:rsid w:val="00652419"/>
    <w:rsid w:val="006528A3"/>
    <w:rsid w:val="0065291E"/>
    <w:rsid w:val="00652B56"/>
    <w:rsid w:val="00652D20"/>
    <w:rsid w:val="00652F9E"/>
    <w:rsid w:val="006538B5"/>
    <w:rsid w:val="00653BFA"/>
    <w:rsid w:val="00653D72"/>
    <w:rsid w:val="0065426E"/>
    <w:rsid w:val="006542BD"/>
    <w:rsid w:val="0065480B"/>
    <w:rsid w:val="00654840"/>
    <w:rsid w:val="0065499B"/>
    <w:rsid w:val="00654C7E"/>
    <w:rsid w:val="00654CE5"/>
    <w:rsid w:val="006553D5"/>
    <w:rsid w:val="0065596F"/>
    <w:rsid w:val="00656D6E"/>
    <w:rsid w:val="0065708F"/>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06"/>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646"/>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721"/>
    <w:rsid w:val="00672834"/>
    <w:rsid w:val="00672E8F"/>
    <w:rsid w:val="006731EB"/>
    <w:rsid w:val="006734E9"/>
    <w:rsid w:val="00673635"/>
    <w:rsid w:val="0067363B"/>
    <w:rsid w:val="00673A64"/>
    <w:rsid w:val="00673A88"/>
    <w:rsid w:val="00673CBC"/>
    <w:rsid w:val="00673E75"/>
    <w:rsid w:val="00674067"/>
    <w:rsid w:val="00674177"/>
    <w:rsid w:val="006741EB"/>
    <w:rsid w:val="00674510"/>
    <w:rsid w:val="006745D2"/>
    <w:rsid w:val="0067465C"/>
    <w:rsid w:val="00674B20"/>
    <w:rsid w:val="00674C12"/>
    <w:rsid w:val="00674DE5"/>
    <w:rsid w:val="00674EFB"/>
    <w:rsid w:val="00674F00"/>
    <w:rsid w:val="00674F0E"/>
    <w:rsid w:val="00675743"/>
    <w:rsid w:val="006759A8"/>
    <w:rsid w:val="006759D3"/>
    <w:rsid w:val="00675FDE"/>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5D1"/>
    <w:rsid w:val="00681880"/>
    <w:rsid w:val="006818C3"/>
    <w:rsid w:val="00681934"/>
    <w:rsid w:val="00681A4F"/>
    <w:rsid w:val="0068234A"/>
    <w:rsid w:val="00682356"/>
    <w:rsid w:val="00682745"/>
    <w:rsid w:val="00682C01"/>
    <w:rsid w:val="00682F41"/>
    <w:rsid w:val="00683060"/>
    <w:rsid w:val="0068342E"/>
    <w:rsid w:val="0068367A"/>
    <w:rsid w:val="00683A4E"/>
    <w:rsid w:val="00683D2A"/>
    <w:rsid w:val="00683D4B"/>
    <w:rsid w:val="006840A5"/>
    <w:rsid w:val="00684326"/>
    <w:rsid w:val="006843E2"/>
    <w:rsid w:val="006847F2"/>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EB8"/>
    <w:rsid w:val="0069109C"/>
    <w:rsid w:val="006910DD"/>
    <w:rsid w:val="0069110B"/>
    <w:rsid w:val="00691126"/>
    <w:rsid w:val="0069116C"/>
    <w:rsid w:val="00691297"/>
    <w:rsid w:val="00691872"/>
    <w:rsid w:val="006919CA"/>
    <w:rsid w:val="00691E53"/>
    <w:rsid w:val="00691F65"/>
    <w:rsid w:val="006920C9"/>
    <w:rsid w:val="00692136"/>
    <w:rsid w:val="006922D5"/>
    <w:rsid w:val="00692691"/>
    <w:rsid w:val="00692695"/>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0F58"/>
    <w:rsid w:val="006A1008"/>
    <w:rsid w:val="006A12A5"/>
    <w:rsid w:val="006A15C0"/>
    <w:rsid w:val="006A175F"/>
    <w:rsid w:val="006A1880"/>
    <w:rsid w:val="006A1985"/>
    <w:rsid w:val="006A1A59"/>
    <w:rsid w:val="006A1A88"/>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387"/>
    <w:rsid w:val="006A470D"/>
    <w:rsid w:val="006A4E59"/>
    <w:rsid w:val="006A558E"/>
    <w:rsid w:val="006A5622"/>
    <w:rsid w:val="006A575D"/>
    <w:rsid w:val="006A5CA6"/>
    <w:rsid w:val="006A5DFD"/>
    <w:rsid w:val="006A60B3"/>
    <w:rsid w:val="006A6172"/>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0E6"/>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014"/>
    <w:rsid w:val="006B4B09"/>
    <w:rsid w:val="006B4BBD"/>
    <w:rsid w:val="006B4FCA"/>
    <w:rsid w:val="006B539F"/>
    <w:rsid w:val="006B53B0"/>
    <w:rsid w:val="006B5466"/>
    <w:rsid w:val="006B5694"/>
    <w:rsid w:val="006B592C"/>
    <w:rsid w:val="006B5D78"/>
    <w:rsid w:val="006B67E1"/>
    <w:rsid w:val="006B6870"/>
    <w:rsid w:val="006B6D38"/>
    <w:rsid w:val="006B704A"/>
    <w:rsid w:val="006B7077"/>
    <w:rsid w:val="006B71DE"/>
    <w:rsid w:val="006B7987"/>
    <w:rsid w:val="006B7CEA"/>
    <w:rsid w:val="006B7E7C"/>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42C"/>
    <w:rsid w:val="006C34CB"/>
    <w:rsid w:val="006C356F"/>
    <w:rsid w:val="006C362D"/>
    <w:rsid w:val="006C397D"/>
    <w:rsid w:val="006C3F35"/>
    <w:rsid w:val="006C3FCE"/>
    <w:rsid w:val="006C41C7"/>
    <w:rsid w:val="006C4253"/>
    <w:rsid w:val="006C44CF"/>
    <w:rsid w:val="006C46D1"/>
    <w:rsid w:val="006C4B0D"/>
    <w:rsid w:val="006C4EE6"/>
    <w:rsid w:val="006C4F45"/>
    <w:rsid w:val="006C50E4"/>
    <w:rsid w:val="006C54A6"/>
    <w:rsid w:val="006C5561"/>
    <w:rsid w:val="006C5771"/>
    <w:rsid w:val="006C583E"/>
    <w:rsid w:val="006C588A"/>
    <w:rsid w:val="006C59CE"/>
    <w:rsid w:val="006C5D89"/>
    <w:rsid w:val="006C5DEF"/>
    <w:rsid w:val="006C5FD3"/>
    <w:rsid w:val="006C61BD"/>
    <w:rsid w:val="006C61C1"/>
    <w:rsid w:val="006C64E5"/>
    <w:rsid w:val="006C6845"/>
    <w:rsid w:val="006C6ACB"/>
    <w:rsid w:val="006C71C0"/>
    <w:rsid w:val="006C7441"/>
    <w:rsid w:val="006C7795"/>
    <w:rsid w:val="006C788A"/>
    <w:rsid w:val="006C7AE1"/>
    <w:rsid w:val="006D030F"/>
    <w:rsid w:val="006D0349"/>
    <w:rsid w:val="006D03A7"/>
    <w:rsid w:val="006D0500"/>
    <w:rsid w:val="006D0B99"/>
    <w:rsid w:val="006D0FA8"/>
    <w:rsid w:val="006D10D7"/>
    <w:rsid w:val="006D14AF"/>
    <w:rsid w:val="006D14D4"/>
    <w:rsid w:val="006D170A"/>
    <w:rsid w:val="006D1979"/>
    <w:rsid w:val="006D1FF3"/>
    <w:rsid w:val="006D2A7D"/>
    <w:rsid w:val="006D2ABB"/>
    <w:rsid w:val="006D2AC3"/>
    <w:rsid w:val="006D2EDC"/>
    <w:rsid w:val="006D3316"/>
    <w:rsid w:val="006D34C2"/>
    <w:rsid w:val="006D35C2"/>
    <w:rsid w:val="006D37A5"/>
    <w:rsid w:val="006D3B08"/>
    <w:rsid w:val="006D3D6C"/>
    <w:rsid w:val="006D3F7F"/>
    <w:rsid w:val="006D4070"/>
    <w:rsid w:val="006D4461"/>
    <w:rsid w:val="006D46EC"/>
    <w:rsid w:val="006D497F"/>
    <w:rsid w:val="006D4D62"/>
    <w:rsid w:val="006D4FAD"/>
    <w:rsid w:val="006D5104"/>
    <w:rsid w:val="006D5109"/>
    <w:rsid w:val="006D5B63"/>
    <w:rsid w:val="006D6086"/>
    <w:rsid w:val="006D6087"/>
    <w:rsid w:val="006D611E"/>
    <w:rsid w:val="006D631F"/>
    <w:rsid w:val="006D67BC"/>
    <w:rsid w:val="006D6ABE"/>
    <w:rsid w:val="006D6C19"/>
    <w:rsid w:val="006D6C39"/>
    <w:rsid w:val="006D6D23"/>
    <w:rsid w:val="006D6DBA"/>
    <w:rsid w:val="006D6EF6"/>
    <w:rsid w:val="006D72F5"/>
    <w:rsid w:val="006D769A"/>
    <w:rsid w:val="006D7767"/>
    <w:rsid w:val="006D7AE2"/>
    <w:rsid w:val="006D7EB3"/>
    <w:rsid w:val="006D7FAF"/>
    <w:rsid w:val="006E043A"/>
    <w:rsid w:val="006E04A4"/>
    <w:rsid w:val="006E06B9"/>
    <w:rsid w:val="006E077A"/>
    <w:rsid w:val="006E08D9"/>
    <w:rsid w:val="006E096D"/>
    <w:rsid w:val="006E0A37"/>
    <w:rsid w:val="006E0BDD"/>
    <w:rsid w:val="006E1143"/>
    <w:rsid w:val="006E1371"/>
    <w:rsid w:val="006E17FC"/>
    <w:rsid w:val="006E1B52"/>
    <w:rsid w:val="006E1EC7"/>
    <w:rsid w:val="006E205A"/>
    <w:rsid w:val="006E2650"/>
    <w:rsid w:val="006E2A12"/>
    <w:rsid w:val="006E2DEE"/>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B39"/>
    <w:rsid w:val="006E6D7A"/>
    <w:rsid w:val="006E6E94"/>
    <w:rsid w:val="006E6F50"/>
    <w:rsid w:val="006E70D2"/>
    <w:rsid w:val="006E781B"/>
    <w:rsid w:val="006E7C9A"/>
    <w:rsid w:val="006F007E"/>
    <w:rsid w:val="006F083F"/>
    <w:rsid w:val="006F0977"/>
    <w:rsid w:val="006F09CE"/>
    <w:rsid w:val="006F0A7B"/>
    <w:rsid w:val="006F0AE6"/>
    <w:rsid w:val="006F0D44"/>
    <w:rsid w:val="006F1009"/>
    <w:rsid w:val="006F14A9"/>
    <w:rsid w:val="006F14BF"/>
    <w:rsid w:val="006F15D3"/>
    <w:rsid w:val="006F1914"/>
    <w:rsid w:val="006F193E"/>
    <w:rsid w:val="006F1C5F"/>
    <w:rsid w:val="006F3370"/>
    <w:rsid w:val="006F33F6"/>
    <w:rsid w:val="006F34A0"/>
    <w:rsid w:val="006F34FE"/>
    <w:rsid w:val="006F377B"/>
    <w:rsid w:val="006F385D"/>
    <w:rsid w:val="006F40DA"/>
    <w:rsid w:val="006F4316"/>
    <w:rsid w:val="006F4705"/>
    <w:rsid w:val="006F4B8F"/>
    <w:rsid w:val="006F52CF"/>
    <w:rsid w:val="006F54BA"/>
    <w:rsid w:val="006F55D9"/>
    <w:rsid w:val="006F56FB"/>
    <w:rsid w:val="006F5755"/>
    <w:rsid w:val="006F5E50"/>
    <w:rsid w:val="006F5ED9"/>
    <w:rsid w:val="006F5EF5"/>
    <w:rsid w:val="006F5FB2"/>
    <w:rsid w:val="006F634B"/>
    <w:rsid w:val="006F64E5"/>
    <w:rsid w:val="006F6B06"/>
    <w:rsid w:val="006F6BEC"/>
    <w:rsid w:val="006F6CFA"/>
    <w:rsid w:val="006F76C9"/>
    <w:rsid w:val="006F7A70"/>
    <w:rsid w:val="006F7A7C"/>
    <w:rsid w:val="006F7D29"/>
    <w:rsid w:val="006F7DC1"/>
    <w:rsid w:val="006F7EDB"/>
    <w:rsid w:val="0070037C"/>
    <w:rsid w:val="00700A1C"/>
    <w:rsid w:val="00700B1E"/>
    <w:rsid w:val="00700DC4"/>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8D3"/>
    <w:rsid w:val="00702EBE"/>
    <w:rsid w:val="007034E1"/>
    <w:rsid w:val="00703788"/>
    <w:rsid w:val="007040D1"/>
    <w:rsid w:val="00704874"/>
    <w:rsid w:val="00704D57"/>
    <w:rsid w:val="00704E9C"/>
    <w:rsid w:val="007050AE"/>
    <w:rsid w:val="0070512E"/>
    <w:rsid w:val="0070577D"/>
    <w:rsid w:val="007057AD"/>
    <w:rsid w:val="00705C1F"/>
    <w:rsid w:val="00705E40"/>
    <w:rsid w:val="0070627A"/>
    <w:rsid w:val="00706382"/>
    <w:rsid w:val="00706DE2"/>
    <w:rsid w:val="00706DFC"/>
    <w:rsid w:val="00706F7C"/>
    <w:rsid w:val="0070736F"/>
    <w:rsid w:val="00707438"/>
    <w:rsid w:val="00707680"/>
    <w:rsid w:val="00710499"/>
    <w:rsid w:val="007108DD"/>
    <w:rsid w:val="00710A58"/>
    <w:rsid w:val="00711134"/>
    <w:rsid w:val="00711165"/>
    <w:rsid w:val="0071120B"/>
    <w:rsid w:val="0071123F"/>
    <w:rsid w:val="00711295"/>
    <w:rsid w:val="00711794"/>
    <w:rsid w:val="00711A9C"/>
    <w:rsid w:val="00711C40"/>
    <w:rsid w:val="00711EB7"/>
    <w:rsid w:val="00711EFE"/>
    <w:rsid w:val="00712086"/>
    <w:rsid w:val="0071235F"/>
    <w:rsid w:val="00712457"/>
    <w:rsid w:val="00712888"/>
    <w:rsid w:val="007128E1"/>
    <w:rsid w:val="00712A9A"/>
    <w:rsid w:val="00712BBA"/>
    <w:rsid w:val="00712D67"/>
    <w:rsid w:val="00712FC0"/>
    <w:rsid w:val="0071306A"/>
    <w:rsid w:val="007132DC"/>
    <w:rsid w:val="00713402"/>
    <w:rsid w:val="00713496"/>
    <w:rsid w:val="007136DA"/>
    <w:rsid w:val="0071384C"/>
    <w:rsid w:val="0071388D"/>
    <w:rsid w:val="007139D7"/>
    <w:rsid w:val="00713BA2"/>
    <w:rsid w:val="00713DE6"/>
    <w:rsid w:val="00714841"/>
    <w:rsid w:val="00714C03"/>
    <w:rsid w:val="007155FC"/>
    <w:rsid w:val="00715621"/>
    <w:rsid w:val="00715630"/>
    <w:rsid w:val="007156AC"/>
    <w:rsid w:val="007157B0"/>
    <w:rsid w:val="00715834"/>
    <w:rsid w:val="007158E8"/>
    <w:rsid w:val="0071592A"/>
    <w:rsid w:val="00715C58"/>
    <w:rsid w:val="00715DD0"/>
    <w:rsid w:val="00715E9E"/>
    <w:rsid w:val="00716283"/>
    <w:rsid w:val="007162E7"/>
    <w:rsid w:val="007163E8"/>
    <w:rsid w:val="00716987"/>
    <w:rsid w:val="00716BA1"/>
    <w:rsid w:val="00717116"/>
    <w:rsid w:val="007174B7"/>
    <w:rsid w:val="007174E8"/>
    <w:rsid w:val="0071759C"/>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943"/>
    <w:rsid w:val="00721984"/>
    <w:rsid w:val="00721B35"/>
    <w:rsid w:val="00721B55"/>
    <w:rsid w:val="00721BE1"/>
    <w:rsid w:val="00721FC8"/>
    <w:rsid w:val="00722448"/>
    <w:rsid w:val="00722612"/>
    <w:rsid w:val="007227EB"/>
    <w:rsid w:val="00722BA1"/>
    <w:rsid w:val="00722D5A"/>
    <w:rsid w:val="00722F7C"/>
    <w:rsid w:val="007231ED"/>
    <w:rsid w:val="007235A8"/>
    <w:rsid w:val="00723AF5"/>
    <w:rsid w:val="00723D67"/>
    <w:rsid w:val="00724014"/>
    <w:rsid w:val="007241D4"/>
    <w:rsid w:val="00724BD4"/>
    <w:rsid w:val="00724DEA"/>
    <w:rsid w:val="00724F09"/>
    <w:rsid w:val="00724FF5"/>
    <w:rsid w:val="0072542B"/>
    <w:rsid w:val="007256B3"/>
    <w:rsid w:val="00725801"/>
    <w:rsid w:val="00725AFD"/>
    <w:rsid w:val="00726107"/>
    <w:rsid w:val="00726B26"/>
    <w:rsid w:val="00727280"/>
    <w:rsid w:val="00727861"/>
    <w:rsid w:val="00727CBB"/>
    <w:rsid w:val="00727D1E"/>
    <w:rsid w:val="00727E05"/>
    <w:rsid w:val="00727F90"/>
    <w:rsid w:val="00727FCD"/>
    <w:rsid w:val="007302C8"/>
    <w:rsid w:val="0073040F"/>
    <w:rsid w:val="00730521"/>
    <w:rsid w:val="007306DE"/>
    <w:rsid w:val="00730724"/>
    <w:rsid w:val="00730E4C"/>
    <w:rsid w:val="007311A1"/>
    <w:rsid w:val="00731640"/>
    <w:rsid w:val="0073168B"/>
    <w:rsid w:val="007317C2"/>
    <w:rsid w:val="00731943"/>
    <w:rsid w:val="0073197E"/>
    <w:rsid w:val="00732120"/>
    <w:rsid w:val="0073218E"/>
    <w:rsid w:val="007329FD"/>
    <w:rsid w:val="00732C14"/>
    <w:rsid w:val="00733035"/>
    <w:rsid w:val="007330D8"/>
    <w:rsid w:val="0073341D"/>
    <w:rsid w:val="007335CE"/>
    <w:rsid w:val="007337BB"/>
    <w:rsid w:val="0073393A"/>
    <w:rsid w:val="007339B0"/>
    <w:rsid w:val="00733E60"/>
    <w:rsid w:val="00733F26"/>
    <w:rsid w:val="00734055"/>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3F5"/>
    <w:rsid w:val="00741ACB"/>
    <w:rsid w:val="00741CF5"/>
    <w:rsid w:val="00741D5C"/>
    <w:rsid w:val="007420D1"/>
    <w:rsid w:val="00742661"/>
    <w:rsid w:val="00742E41"/>
    <w:rsid w:val="007439E6"/>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5ED1"/>
    <w:rsid w:val="007463FD"/>
    <w:rsid w:val="0074649F"/>
    <w:rsid w:val="00746932"/>
    <w:rsid w:val="00746B0E"/>
    <w:rsid w:val="00746C34"/>
    <w:rsid w:val="00746C90"/>
    <w:rsid w:val="00746D3C"/>
    <w:rsid w:val="00746E39"/>
    <w:rsid w:val="00746EA5"/>
    <w:rsid w:val="00746EAF"/>
    <w:rsid w:val="00747090"/>
    <w:rsid w:val="0074799E"/>
    <w:rsid w:val="007479FC"/>
    <w:rsid w:val="00747ADD"/>
    <w:rsid w:val="00747CE0"/>
    <w:rsid w:val="00747D74"/>
    <w:rsid w:val="00747E61"/>
    <w:rsid w:val="00747F0B"/>
    <w:rsid w:val="00747FE1"/>
    <w:rsid w:val="00750377"/>
    <w:rsid w:val="0075076C"/>
    <w:rsid w:val="007508A4"/>
    <w:rsid w:val="007509C9"/>
    <w:rsid w:val="00750CB7"/>
    <w:rsid w:val="00750CF4"/>
    <w:rsid w:val="00750D39"/>
    <w:rsid w:val="0075127E"/>
    <w:rsid w:val="00751624"/>
    <w:rsid w:val="0075185F"/>
    <w:rsid w:val="007519CB"/>
    <w:rsid w:val="00751C6C"/>
    <w:rsid w:val="00751DCA"/>
    <w:rsid w:val="00752369"/>
    <w:rsid w:val="007526EB"/>
    <w:rsid w:val="007528F1"/>
    <w:rsid w:val="00752B75"/>
    <w:rsid w:val="00752C5B"/>
    <w:rsid w:val="00752ED3"/>
    <w:rsid w:val="00753079"/>
    <w:rsid w:val="007530AC"/>
    <w:rsid w:val="007535C6"/>
    <w:rsid w:val="00753A6E"/>
    <w:rsid w:val="00753AC5"/>
    <w:rsid w:val="00753AD0"/>
    <w:rsid w:val="00753D73"/>
    <w:rsid w:val="007544AC"/>
    <w:rsid w:val="0075459A"/>
    <w:rsid w:val="0075494A"/>
    <w:rsid w:val="00754B63"/>
    <w:rsid w:val="00754FAE"/>
    <w:rsid w:val="007551E8"/>
    <w:rsid w:val="0075521D"/>
    <w:rsid w:val="00755B6E"/>
    <w:rsid w:val="00755C7B"/>
    <w:rsid w:val="00755F7C"/>
    <w:rsid w:val="007564F7"/>
    <w:rsid w:val="007567CD"/>
    <w:rsid w:val="00756A98"/>
    <w:rsid w:val="00756CAC"/>
    <w:rsid w:val="00756DD8"/>
    <w:rsid w:val="00756F53"/>
    <w:rsid w:val="00757475"/>
    <w:rsid w:val="007578DE"/>
    <w:rsid w:val="00757AA9"/>
    <w:rsid w:val="00757B11"/>
    <w:rsid w:val="007608A5"/>
    <w:rsid w:val="00760F6C"/>
    <w:rsid w:val="00761333"/>
    <w:rsid w:val="007614D4"/>
    <w:rsid w:val="007615A6"/>
    <w:rsid w:val="00761A6E"/>
    <w:rsid w:val="00761B87"/>
    <w:rsid w:val="00761CFF"/>
    <w:rsid w:val="00761DEF"/>
    <w:rsid w:val="00761E76"/>
    <w:rsid w:val="00761F27"/>
    <w:rsid w:val="00761F5A"/>
    <w:rsid w:val="007620CC"/>
    <w:rsid w:val="00762153"/>
    <w:rsid w:val="00762519"/>
    <w:rsid w:val="0076269E"/>
    <w:rsid w:val="007626DE"/>
    <w:rsid w:val="00762B3E"/>
    <w:rsid w:val="00762DC7"/>
    <w:rsid w:val="007635BA"/>
    <w:rsid w:val="00763A54"/>
    <w:rsid w:val="00763B85"/>
    <w:rsid w:val="00763C39"/>
    <w:rsid w:val="00763C86"/>
    <w:rsid w:val="00763D62"/>
    <w:rsid w:val="00763EAC"/>
    <w:rsid w:val="00763F03"/>
    <w:rsid w:val="00764238"/>
    <w:rsid w:val="0076440F"/>
    <w:rsid w:val="007644AC"/>
    <w:rsid w:val="007648BF"/>
    <w:rsid w:val="00764987"/>
    <w:rsid w:val="00764CBE"/>
    <w:rsid w:val="007655CE"/>
    <w:rsid w:val="0076578D"/>
    <w:rsid w:val="007658AC"/>
    <w:rsid w:val="007659BA"/>
    <w:rsid w:val="00765A01"/>
    <w:rsid w:val="00765A80"/>
    <w:rsid w:val="00765A94"/>
    <w:rsid w:val="00765C06"/>
    <w:rsid w:val="00765D07"/>
    <w:rsid w:val="00766629"/>
    <w:rsid w:val="0076662A"/>
    <w:rsid w:val="00766852"/>
    <w:rsid w:val="00766BCD"/>
    <w:rsid w:val="00766E08"/>
    <w:rsid w:val="007672E0"/>
    <w:rsid w:val="0076745A"/>
    <w:rsid w:val="00767DF8"/>
    <w:rsid w:val="00767FDD"/>
    <w:rsid w:val="0077000D"/>
    <w:rsid w:val="0077008E"/>
    <w:rsid w:val="00770108"/>
    <w:rsid w:val="007703B9"/>
    <w:rsid w:val="007704ED"/>
    <w:rsid w:val="00770908"/>
    <w:rsid w:val="007709B8"/>
    <w:rsid w:val="007709C5"/>
    <w:rsid w:val="00770B7A"/>
    <w:rsid w:val="00770B7E"/>
    <w:rsid w:val="00770CB0"/>
    <w:rsid w:val="00770D25"/>
    <w:rsid w:val="00770D9E"/>
    <w:rsid w:val="00770DE3"/>
    <w:rsid w:val="00771B74"/>
    <w:rsid w:val="00771C85"/>
    <w:rsid w:val="00771CB4"/>
    <w:rsid w:val="00771D5A"/>
    <w:rsid w:val="00771F69"/>
    <w:rsid w:val="0077204F"/>
    <w:rsid w:val="00772296"/>
    <w:rsid w:val="007724E1"/>
    <w:rsid w:val="0077250B"/>
    <w:rsid w:val="007728E8"/>
    <w:rsid w:val="0077299D"/>
    <w:rsid w:val="00772A3F"/>
    <w:rsid w:val="00772BCC"/>
    <w:rsid w:val="00772F51"/>
    <w:rsid w:val="007731D7"/>
    <w:rsid w:val="00773571"/>
    <w:rsid w:val="00773921"/>
    <w:rsid w:val="00773D2C"/>
    <w:rsid w:val="007740D6"/>
    <w:rsid w:val="0077439F"/>
    <w:rsid w:val="007744E8"/>
    <w:rsid w:val="00774517"/>
    <w:rsid w:val="00774566"/>
    <w:rsid w:val="00774608"/>
    <w:rsid w:val="00774BF9"/>
    <w:rsid w:val="00774F5A"/>
    <w:rsid w:val="00775380"/>
    <w:rsid w:val="007755E2"/>
    <w:rsid w:val="007756F6"/>
    <w:rsid w:val="00775B3C"/>
    <w:rsid w:val="00775DD1"/>
    <w:rsid w:val="00776255"/>
    <w:rsid w:val="007764F9"/>
    <w:rsid w:val="00776606"/>
    <w:rsid w:val="00776691"/>
    <w:rsid w:val="00776C87"/>
    <w:rsid w:val="00777200"/>
    <w:rsid w:val="00777522"/>
    <w:rsid w:val="00777E9E"/>
    <w:rsid w:val="007801B6"/>
    <w:rsid w:val="00780A92"/>
    <w:rsid w:val="00780CCD"/>
    <w:rsid w:val="00780CD7"/>
    <w:rsid w:val="00781152"/>
    <w:rsid w:val="00781192"/>
    <w:rsid w:val="0078166E"/>
    <w:rsid w:val="007817C2"/>
    <w:rsid w:val="00781866"/>
    <w:rsid w:val="00781C29"/>
    <w:rsid w:val="00781C9C"/>
    <w:rsid w:val="00781DE7"/>
    <w:rsid w:val="00781E45"/>
    <w:rsid w:val="00781FFE"/>
    <w:rsid w:val="0078226F"/>
    <w:rsid w:val="00782581"/>
    <w:rsid w:val="00782641"/>
    <w:rsid w:val="00782962"/>
    <w:rsid w:val="00782A06"/>
    <w:rsid w:val="00782E6C"/>
    <w:rsid w:val="007831D4"/>
    <w:rsid w:val="00783737"/>
    <w:rsid w:val="00783A88"/>
    <w:rsid w:val="00783D86"/>
    <w:rsid w:val="00783F7B"/>
    <w:rsid w:val="007843D8"/>
    <w:rsid w:val="007849AE"/>
    <w:rsid w:val="00784B30"/>
    <w:rsid w:val="00784C4B"/>
    <w:rsid w:val="00784F4E"/>
    <w:rsid w:val="007850C2"/>
    <w:rsid w:val="007854AB"/>
    <w:rsid w:val="007856A5"/>
    <w:rsid w:val="00785795"/>
    <w:rsid w:val="00785C5B"/>
    <w:rsid w:val="0078664E"/>
    <w:rsid w:val="00786707"/>
    <w:rsid w:val="007867D2"/>
    <w:rsid w:val="0078685D"/>
    <w:rsid w:val="00786B4B"/>
    <w:rsid w:val="00786BD6"/>
    <w:rsid w:val="00786CF2"/>
    <w:rsid w:val="00786E3B"/>
    <w:rsid w:val="00786E61"/>
    <w:rsid w:val="007871DF"/>
    <w:rsid w:val="007879A2"/>
    <w:rsid w:val="00787E89"/>
    <w:rsid w:val="00787F48"/>
    <w:rsid w:val="00790247"/>
    <w:rsid w:val="0079083C"/>
    <w:rsid w:val="0079096D"/>
    <w:rsid w:val="00790C42"/>
    <w:rsid w:val="00790E4F"/>
    <w:rsid w:val="007912DF"/>
    <w:rsid w:val="007913F8"/>
    <w:rsid w:val="00791981"/>
    <w:rsid w:val="00791BB9"/>
    <w:rsid w:val="00791C28"/>
    <w:rsid w:val="00791FC5"/>
    <w:rsid w:val="0079269D"/>
    <w:rsid w:val="0079273F"/>
    <w:rsid w:val="00792B10"/>
    <w:rsid w:val="00792CBC"/>
    <w:rsid w:val="00793104"/>
    <w:rsid w:val="007931B4"/>
    <w:rsid w:val="0079363D"/>
    <w:rsid w:val="007937A0"/>
    <w:rsid w:val="007937B7"/>
    <w:rsid w:val="007938CA"/>
    <w:rsid w:val="007939D2"/>
    <w:rsid w:val="00793A0B"/>
    <w:rsid w:val="00793C02"/>
    <w:rsid w:val="00793C45"/>
    <w:rsid w:val="007942EC"/>
    <w:rsid w:val="007945A1"/>
    <w:rsid w:val="00794763"/>
    <w:rsid w:val="007947EB"/>
    <w:rsid w:val="00794A72"/>
    <w:rsid w:val="00794AD1"/>
    <w:rsid w:val="00794B4A"/>
    <w:rsid w:val="00794DBC"/>
    <w:rsid w:val="0079505F"/>
    <w:rsid w:val="007950F0"/>
    <w:rsid w:val="007953C5"/>
    <w:rsid w:val="0079565E"/>
    <w:rsid w:val="00795BB0"/>
    <w:rsid w:val="00795BFC"/>
    <w:rsid w:val="00795D53"/>
    <w:rsid w:val="00796038"/>
    <w:rsid w:val="007969A5"/>
    <w:rsid w:val="00796B32"/>
    <w:rsid w:val="00796B3F"/>
    <w:rsid w:val="00796F78"/>
    <w:rsid w:val="00796F88"/>
    <w:rsid w:val="00796F89"/>
    <w:rsid w:val="00797020"/>
    <w:rsid w:val="0079732A"/>
    <w:rsid w:val="00797633"/>
    <w:rsid w:val="0079766F"/>
    <w:rsid w:val="007978D5"/>
    <w:rsid w:val="00797D23"/>
    <w:rsid w:val="00797DB2"/>
    <w:rsid w:val="007A00C1"/>
    <w:rsid w:val="007A0257"/>
    <w:rsid w:val="007A046E"/>
    <w:rsid w:val="007A047E"/>
    <w:rsid w:val="007A0745"/>
    <w:rsid w:val="007A08D0"/>
    <w:rsid w:val="007A0A55"/>
    <w:rsid w:val="007A0C14"/>
    <w:rsid w:val="007A127D"/>
    <w:rsid w:val="007A1737"/>
    <w:rsid w:val="007A1837"/>
    <w:rsid w:val="007A1E19"/>
    <w:rsid w:val="007A25DF"/>
    <w:rsid w:val="007A276A"/>
    <w:rsid w:val="007A285B"/>
    <w:rsid w:val="007A2988"/>
    <w:rsid w:val="007A2B38"/>
    <w:rsid w:val="007A317A"/>
    <w:rsid w:val="007A338A"/>
    <w:rsid w:val="007A3568"/>
    <w:rsid w:val="007A363B"/>
    <w:rsid w:val="007A3642"/>
    <w:rsid w:val="007A3840"/>
    <w:rsid w:val="007A406A"/>
    <w:rsid w:val="007A4837"/>
    <w:rsid w:val="007A4AF2"/>
    <w:rsid w:val="007A4BCA"/>
    <w:rsid w:val="007A4CCC"/>
    <w:rsid w:val="007A5083"/>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213F"/>
    <w:rsid w:val="007B2297"/>
    <w:rsid w:val="007B22DB"/>
    <w:rsid w:val="007B23B3"/>
    <w:rsid w:val="007B2BB7"/>
    <w:rsid w:val="007B31DC"/>
    <w:rsid w:val="007B3C78"/>
    <w:rsid w:val="007B3C7F"/>
    <w:rsid w:val="007B42B6"/>
    <w:rsid w:val="007B4617"/>
    <w:rsid w:val="007B493A"/>
    <w:rsid w:val="007B57CA"/>
    <w:rsid w:val="007B58A8"/>
    <w:rsid w:val="007B592E"/>
    <w:rsid w:val="007B59CB"/>
    <w:rsid w:val="007B5A0D"/>
    <w:rsid w:val="007B5C70"/>
    <w:rsid w:val="007B5D6A"/>
    <w:rsid w:val="007B5FD3"/>
    <w:rsid w:val="007B613F"/>
    <w:rsid w:val="007B61A6"/>
    <w:rsid w:val="007B64B3"/>
    <w:rsid w:val="007B658F"/>
    <w:rsid w:val="007B68D8"/>
    <w:rsid w:val="007B6D83"/>
    <w:rsid w:val="007B6F1F"/>
    <w:rsid w:val="007B7019"/>
    <w:rsid w:val="007B75A2"/>
    <w:rsid w:val="007B77FE"/>
    <w:rsid w:val="007B7AFA"/>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73F"/>
    <w:rsid w:val="007C2A89"/>
    <w:rsid w:val="007C2B28"/>
    <w:rsid w:val="007C2D1C"/>
    <w:rsid w:val="007C2E9F"/>
    <w:rsid w:val="007C3229"/>
    <w:rsid w:val="007C3411"/>
    <w:rsid w:val="007C34B5"/>
    <w:rsid w:val="007C34EB"/>
    <w:rsid w:val="007C3679"/>
    <w:rsid w:val="007C3D37"/>
    <w:rsid w:val="007C3D65"/>
    <w:rsid w:val="007C3F41"/>
    <w:rsid w:val="007C4017"/>
    <w:rsid w:val="007C4426"/>
    <w:rsid w:val="007C466D"/>
    <w:rsid w:val="007C4911"/>
    <w:rsid w:val="007C4AA7"/>
    <w:rsid w:val="007C4C3F"/>
    <w:rsid w:val="007C4EC1"/>
    <w:rsid w:val="007C4F22"/>
    <w:rsid w:val="007C56C6"/>
    <w:rsid w:val="007C5801"/>
    <w:rsid w:val="007C5A99"/>
    <w:rsid w:val="007C5D27"/>
    <w:rsid w:val="007C5DA4"/>
    <w:rsid w:val="007C5FA2"/>
    <w:rsid w:val="007C632D"/>
    <w:rsid w:val="007C6418"/>
    <w:rsid w:val="007C68FF"/>
    <w:rsid w:val="007C6AB8"/>
    <w:rsid w:val="007C6B04"/>
    <w:rsid w:val="007C6F43"/>
    <w:rsid w:val="007C7176"/>
    <w:rsid w:val="007C720D"/>
    <w:rsid w:val="007C7373"/>
    <w:rsid w:val="007C7684"/>
    <w:rsid w:val="007C7988"/>
    <w:rsid w:val="007C7A5D"/>
    <w:rsid w:val="007D039F"/>
    <w:rsid w:val="007D0721"/>
    <w:rsid w:val="007D0BCC"/>
    <w:rsid w:val="007D0EAB"/>
    <w:rsid w:val="007D114B"/>
    <w:rsid w:val="007D132C"/>
    <w:rsid w:val="007D142F"/>
    <w:rsid w:val="007D14E8"/>
    <w:rsid w:val="007D1626"/>
    <w:rsid w:val="007D18F6"/>
    <w:rsid w:val="007D1E36"/>
    <w:rsid w:val="007D1FBC"/>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BBE"/>
    <w:rsid w:val="007D59EE"/>
    <w:rsid w:val="007D5F29"/>
    <w:rsid w:val="007D61D6"/>
    <w:rsid w:val="007D6371"/>
    <w:rsid w:val="007D6483"/>
    <w:rsid w:val="007D711E"/>
    <w:rsid w:val="007D7D43"/>
    <w:rsid w:val="007E04B5"/>
    <w:rsid w:val="007E0772"/>
    <w:rsid w:val="007E07B0"/>
    <w:rsid w:val="007E0C76"/>
    <w:rsid w:val="007E0F9B"/>
    <w:rsid w:val="007E13B2"/>
    <w:rsid w:val="007E14D0"/>
    <w:rsid w:val="007E1549"/>
    <w:rsid w:val="007E17FD"/>
    <w:rsid w:val="007E18E9"/>
    <w:rsid w:val="007E1A5D"/>
    <w:rsid w:val="007E1BF1"/>
    <w:rsid w:val="007E1DF4"/>
    <w:rsid w:val="007E20D1"/>
    <w:rsid w:val="007E2465"/>
    <w:rsid w:val="007E2689"/>
    <w:rsid w:val="007E2AE3"/>
    <w:rsid w:val="007E2CF8"/>
    <w:rsid w:val="007E324C"/>
    <w:rsid w:val="007E33B3"/>
    <w:rsid w:val="007E3433"/>
    <w:rsid w:val="007E36E3"/>
    <w:rsid w:val="007E38EA"/>
    <w:rsid w:val="007E3984"/>
    <w:rsid w:val="007E3D26"/>
    <w:rsid w:val="007E4157"/>
    <w:rsid w:val="007E43B5"/>
    <w:rsid w:val="007E470C"/>
    <w:rsid w:val="007E490C"/>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4D5"/>
    <w:rsid w:val="007E6D44"/>
    <w:rsid w:val="007E7153"/>
    <w:rsid w:val="007E72A4"/>
    <w:rsid w:val="007E7615"/>
    <w:rsid w:val="007E76A8"/>
    <w:rsid w:val="007E78E8"/>
    <w:rsid w:val="007E7EAB"/>
    <w:rsid w:val="007E7FA2"/>
    <w:rsid w:val="007E7FD9"/>
    <w:rsid w:val="007F0087"/>
    <w:rsid w:val="007F0247"/>
    <w:rsid w:val="007F057B"/>
    <w:rsid w:val="007F0BF2"/>
    <w:rsid w:val="007F0D2A"/>
    <w:rsid w:val="007F0D99"/>
    <w:rsid w:val="007F0DB3"/>
    <w:rsid w:val="007F1007"/>
    <w:rsid w:val="007F1954"/>
    <w:rsid w:val="007F1A04"/>
    <w:rsid w:val="007F1C78"/>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C1"/>
    <w:rsid w:val="007F3CF1"/>
    <w:rsid w:val="007F3EF2"/>
    <w:rsid w:val="007F45A0"/>
    <w:rsid w:val="007F4764"/>
    <w:rsid w:val="007F4843"/>
    <w:rsid w:val="007F48CE"/>
    <w:rsid w:val="007F4BEB"/>
    <w:rsid w:val="007F4E0A"/>
    <w:rsid w:val="007F5706"/>
    <w:rsid w:val="007F5835"/>
    <w:rsid w:val="007F58DF"/>
    <w:rsid w:val="007F5AAB"/>
    <w:rsid w:val="007F5B57"/>
    <w:rsid w:val="007F5CFF"/>
    <w:rsid w:val="007F5D7E"/>
    <w:rsid w:val="007F62EA"/>
    <w:rsid w:val="007F6716"/>
    <w:rsid w:val="007F67C4"/>
    <w:rsid w:val="007F68B3"/>
    <w:rsid w:val="007F6E6A"/>
    <w:rsid w:val="007F6EA1"/>
    <w:rsid w:val="007F7115"/>
    <w:rsid w:val="007F7300"/>
    <w:rsid w:val="007F742F"/>
    <w:rsid w:val="007F761B"/>
    <w:rsid w:val="007F7821"/>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0FFC"/>
    <w:rsid w:val="00801016"/>
    <w:rsid w:val="00801239"/>
    <w:rsid w:val="008014B7"/>
    <w:rsid w:val="008019E0"/>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1A"/>
    <w:rsid w:val="008117F9"/>
    <w:rsid w:val="00811885"/>
    <w:rsid w:val="00811C55"/>
    <w:rsid w:val="00811F73"/>
    <w:rsid w:val="0081223D"/>
    <w:rsid w:val="008123EA"/>
    <w:rsid w:val="00812760"/>
    <w:rsid w:val="00812B23"/>
    <w:rsid w:val="00812F06"/>
    <w:rsid w:val="00813200"/>
    <w:rsid w:val="00813D98"/>
    <w:rsid w:val="00813DA0"/>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0E1F"/>
    <w:rsid w:val="00820EDA"/>
    <w:rsid w:val="00821621"/>
    <w:rsid w:val="0082165A"/>
    <w:rsid w:val="008216CD"/>
    <w:rsid w:val="008218BD"/>
    <w:rsid w:val="00821B2C"/>
    <w:rsid w:val="00821F3D"/>
    <w:rsid w:val="00821F4C"/>
    <w:rsid w:val="00822008"/>
    <w:rsid w:val="00822268"/>
    <w:rsid w:val="00822440"/>
    <w:rsid w:val="008226CD"/>
    <w:rsid w:val="00822809"/>
    <w:rsid w:val="0082293D"/>
    <w:rsid w:val="008229A7"/>
    <w:rsid w:val="00822C33"/>
    <w:rsid w:val="00822C3F"/>
    <w:rsid w:val="0082379C"/>
    <w:rsid w:val="00823958"/>
    <w:rsid w:val="00823A23"/>
    <w:rsid w:val="008246C4"/>
    <w:rsid w:val="0082478D"/>
    <w:rsid w:val="00824862"/>
    <w:rsid w:val="008248DF"/>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C58"/>
    <w:rsid w:val="00830ED8"/>
    <w:rsid w:val="00830EE4"/>
    <w:rsid w:val="00830F1D"/>
    <w:rsid w:val="00830F53"/>
    <w:rsid w:val="00830F8B"/>
    <w:rsid w:val="008313E1"/>
    <w:rsid w:val="00831414"/>
    <w:rsid w:val="00831758"/>
    <w:rsid w:val="00831790"/>
    <w:rsid w:val="0083186C"/>
    <w:rsid w:val="008320D8"/>
    <w:rsid w:val="00832181"/>
    <w:rsid w:val="00832350"/>
    <w:rsid w:val="0083250E"/>
    <w:rsid w:val="00832515"/>
    <w:rsid w:val="0083288F"/>
    <w:rsid w:val="00832B6C"/>
    <w:rsid w:val="00832EF0"/>
    <w:rsid w:val="008334D1"/>
    <w:rsid w:val="008336EB"/>
    <w:rsid w:val="00833827"/>
    <w:rsid w:val="00833EFF"/>
    <w:rsid w:val="0083402A"/>
    <w:rsid w:val="008340A8"/>
    <w:rsid w:val="0083410A"/>
    <w:rsid w:val="008348D0"/>
    <w:rsid w:val="008349DD"/>
    <w:rsid w:val="008350D9"/>
    <w:rsid w:val="008350DC"/>
    <w:rsid w:val="00835A48"/>
    <w:rsid w:val="00835D54"/>
    <w:rsid w:val="008368AB"/>
    <w:rsid w:val="00836AE6"/>
    <w:rsid w:val="00836C42"/>
    <w:rsid w:val="00836D0A"/>
    <w:rsid w:val="0083727C"/>
    <w:rsid w:val="0083728E"/>
    <w:rsid w:val="0083741D"/>
    <w:rsid w:val="00837D15"/>
    <w:rsid w:val="00837DB6"/>
    <w:rsid w:val="008400FD"/>
    <w:rsid w:val="008404F5"/>
    <w:rsid w:val="00840816"/>
    <w:rsid w:val="00840C06"/>
    <w:rsid w:val="00840C39"/>
    <w:rsid w:val="00840E97"/>
    <w:rsid w:val="00840E9D"/>
    <w:rsid w:val="00840EAF"/>
    <w:rsid w:val="00840F39"/>
    <w:rsid w:val="00841149"/>
    <w:rsid w:val="008415B1"/>
    <w:rsid w:val="008417E5"/>
    <w:rsid w:val="00841D14"/>
    <w:rsid w:val="00841D5F"/>
    <w:rsid w:val="00842313"/>
    <w:rsid w:val="0084249B"/>
    <w:rsid w:val="0084270A"/>
    <w:rsid w:val="00842FF1"/>
    <w:rsid w:val="0084306A"/>
    <w:rsid w:val="00843D0F"/>
    <w:rsid w:val="00843DDE"/>
    <w:rsid w:val="008440B8"/>
    <w:rsid w:val="00844253"/>
    <w:rsid w:val="00844544"/>
    <w:rsid w:val="00844D95"/>
    <w:rsid w:val="0084517F"/>
    <w:rsid w:val="0084565F"/>
    <w:rsid w:val="00845923"/>
    <w:rsid w:val="00845F3D"/>
    <w:rsid w:val="00845F41"/>
    <w:rsid w:val="0084622A"/>
    <w:rsid w:val="008463AF"/>
    <w:rsid w:val="008464CF"/>
    <w:rsid w:val="00846621"/>
    <w:rsid w:val="00846656"/>
    <w:rsid w:val="00846749"/>
    <w:rsid w:val="00846B7A"/>
    <w:rsid w:val="00846CA5"/>
    <w:rsid w:val="00846D54"/>
    <w:rsid w:val="00846DF9"/>
    <w:rsid w:val="00846E91"/>
    <w:rsid w:val="00846EF1"/>
    <w:rsid w:val="00847736"/>
    <w:rsid w:val="00847777"/>
    <w:rsid w:val="008478EF"/>
    <w:rsid w:val="00847914"/>
    <w:rsid w:val="00847A0D"/>
    <w:rsid w:val="00847AD8"/>
    <w:rsid w:val="00847E7E"/>
    <w:rsid w:val="00847F4A"/>
    <w:rsid w:val="0085034C"/>
    <w:rsid w:val="00850482"/>
    <w:rsid w:val="008507D3"/>
    <w:rsid w:val="00850992"/>
    <w:rsid w:val="00850AE9"/>
    <w:rsid w:val="00850BCB"/>
    <w:rsid w:val="00850C5B"/>
    <w:rsid w:val="00850D36"/>
    <w:rsid w:val="008511D2"/>
    <w:rsid w:val="008512AF"/>
    <w:rsid w:val="0085153F"/>
    <w:rsid w:val="008516DD"/>
    <w:rsid w:val="00851A53"/>
    <w:rsid w:val="00851DED"/>
    <w:rsid w:val="00851E58"/>
    <w:rsid w:val="008520B3"/>
    <w:rsid w:val="008521BF"/>
    <w:rsid w:val="0085224C"/>
    <w:rsid w:val="008522AA"/>
    <w:rsid w:val="0085241D"/>
    <w:rsid w:val="008527E5"/>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281"/>
    <w:rsid w:val="008543E8"/>
    <w:rsid w:val="0085459B"/>
    <w:rsid w:val="00855157"/>
    <w:rsid w:val="008551EA"/>
    <w:rsid w:val="0085526F"/>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1FE"/>
    <w:rsid w:val="00862247"/>
    <w:rsid w:val="00862D20"/>
    <w:rsid w:val="00862EF3"/>
    <w:rsid w:val="008630C4"/>
    <w:rsid w:val="008636AC"/>
    <w:rsid w:val="00863792"/>
    <w:rsid w:val="008637C0"/>
    <w:rsid w:val="00863A7C"/>
    <w:rsid w:val="00863B56"/>
    <w:rsid w:val="00863BCF"/>
    <w:rsid w:val="0086407D"/>
    <w:rsid w:val="0086456C"/>
    <w:rsid w:val="0086457E"/>
    <w:rsid w:val="008648AE"/>
    <w:rsid w:val="0086494E"/>
    <w:rsid w:val="00865013"/>
    <w:rsid w:val="008650B7"/>
    <w:rsid w:val="0086515A"/>
    <w:rsid w:val="00865318"/>
    <w:rsid w:val="0086531F"/>
    <w:rsid w:val="00865509"/>
    <w:rsid w:val="0086556C"/>
    <w:rsid w:val="00865846"/>
    <w:rsid w:val="00865918"/>
    <w:rsid w:val="008659A0"/>
    <w:rsid w:val="00865A45"/>
    <w:rsid w:val="00865F80"/>
    <w:rsid w:val="008662DD"/>
    <w:rsid w:val="0086679B"/>
    <w:rsid w:val="0086682A"/>
    <w:rsid w:val="00866C86"/>
    <w:rsid w:val="00867068"/>
    <w:rsid w:val="00867362"/>
    <w:rsid w:val="008674EB"/>
    <w:rsid w:val="008676D3"/>
    <w:rsid w:val="00867783"/>
    <w:rsid w:val="0086796D"/>
    <w:rsid w:val="00867B79"/>
    <w:rsid w:val="00867F65"/>
    <w:rsid w:val="00867F95"/>
    <w:rsid w:val="0087024E"/>
    <w:rsid w:val="00870854"/>
    <w:rsid w:val="00870951"/>
    <w:rsid w:val="008709DB"/>
    <w:rsid w:val="00870A1B"/>
    <w:rsid w:val="00870C3F"/>
    <w:rsid w:val="00870CFF"/>
    <w:rsid w:val="008710BD"/>
    <w:rsid w:val="008711C0"/>
    <w:rsid w:val="00871342"/>
    <w:rsid w:val="00871610"/>
    <w:rsid w:val="008717D3"/>
    <w:rsid w:val="008718EF"/>
    <w:rsid w:val="00871B8E"/>
    <w:rsid w:val="00871FB8"/>
    <w:rsid w:val="008720C6"/>
    <w:rsid w:val="00872361"/>
    <w:rsid w:val="008724ED"/>
    <w:rsid w:val="008727FE"/>
    <w:rsid w:val="008728F2"/>
    <w:rsid w:val="00872DCE"/>
    <w:rsid w:val="00872FAA"/>
    <w:rsid w:val="00873104"/>
    <w:rsid w:val="00873138"/>
    <w:rsid w:val="00873234"/>
    <w:rsid w:val="008734D7"/>
    <w:rsid w:val="00873C1B"/>
    <w:rsid w:val="00873EAB"/>
    <w:rsid w:val="00874292"/>
    <w:rsid w:val="00874922"/>
    <w:rsid w:val="00874B9E"/>
    <w:rsid w:val="00874CF2"/>
    <w:rsid w:val="00874D23"/>
    <w:rsid w:val="00874E78"/>
    <w:rsid w:val="00874ED5"/>
    <w:rsid w:val="00875399"/>
    <w:rsid w:val="0087593A"/>
    <w:rsid w:val="00875B49"/>
    <w:rsid w:val="008763FA"/>
    <w:rsid w:val="008763FC"/>
    <w:rsid w:val="00876574"/>
    <w:rsid w:val="00876830"/>
    <w:rsid w:val="0087685D"/>
    <w:rsid w:val="00876948"/>
    <w:rsid w:val="00876D0A"/>
    <w:rsid w:val="00877121"/>
    <w:rsid w:val="0087734D"/>
    <w:rsid w:val="00877464"/>
    <w:rsid w:val="00877493"/>
    <w:rsid w:val="00877DB2"/>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C1"/>
    <w:rsid w:val="008824ED"/>
    <w:rsid w:val="00882E68"/>
    <w:rsid w:val="00882F7F"/>
    <w:rsid w:val="00883197"/>
    <w:rsid w:val="00883201"/>
    <w:rsid w:val="00884151"/>
    <w:rsid w:val="0088437F"/>
    <w:rsid w:val="008846FC"/>
    <w:rsid w:val="0088484C"/>
    <w:rsid w:val="0088487F"/>
    <w:rsid w:val="008848CE"/>
    <w:rsid w:val="00884A55"/>
    <w:rsid w:val="00884A5F"/>
    <w:rsid w:val="00884B23"/>
    <w:rsid w:val="00884C25"/>
    <w:rsid w:val="00885195"/>
    <w:rsid w:val="008851DF"/>
    <w:rsid w:val="008851F7"/>
    <w:rsid w:val="00885366"/>
    <w:rsid w:val="008853A7"/>
    <w:rsid w:val="0088556A"/>
    <w:rsid w:val="00885664"/>
    <w:rsid w:val="00886019"/>
    <w:rsid w:val="00886438"/>
    <w:rsid w:val="00886866"/>
    <w:rsid w:val="0088687B"/>
    <w:rsid w:val="00886918"/>
    <w:rsid w:val="0088696A"/>
    <w:rsid w:val="00886C32"/>
    <w:rsid w:val="00886C3E"/>
    <w:rsid w:val="00886EFA"/>
    <w:rsid w:val="008875F9"/>
    <w:rsid w:val="008877F3"/>
    <w:rsid w:val="0088795D"/>
    <w:rsid w:val="00887B33"/>
    <w:rsid w:val="00887DE6"/>
    <w:rsid w:val="00890490"/>
    <w:rsid w:val="00890D39"/>
    <w:rsid w:val="008912DA"/>
    <w:rsid w:val="00891476"/>
    <w:rsid w:val="008915CE"/>
    <w:rsid w:val="00891692"/>
    <w:rsid w:val="008919C2"/>
    <w:rsid w:val="008919F9"/>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48"/>
    <w:rsid w:val="008955A8"/>
    <w:rsid w:val="00895633"/>
    <w:rsid w:val="008956AD"/>
    <w:rsid w:val="0089584D"/>
    <w:rsid w:val="00895938"/>
    <w:rsid w:val="00895A22"/>
    <w:rsid w:val="00895EB5"/>
    <w:rsid w:val="008961A9"/>
    <w:rsid w:val="0089630C"/>
    <w:rsid w:val="0089639C"/>
    <w:rsid w:val="008963BC"/>
    <w:rsid w:val="00896401"/>
    <w:rsid w:val="00896411"/>
    <w:rsid w:val="00896477"/>
    <w:rsid w:val="0089655B"/>
    <w:rsid w:val="0089678A"/>
    <w:rsid w:val="00896C6E"/>
    <w:rsid w:val="00896E6A"/>
    <w:rsid w:val="00896EBD"/>
    <w:rsid w:val="0089759B"/>
    <w:rsid w:val="008976C3"/>
    <w:rsid w:val="0089779F"/>
    <w:rsid w:val="0089796E"/>
    <w:rsid w:val="00897E1A"/>
    <w:rsid w:val="008A00AE"/>
    <w:rsid w:val="008A0250"/>
    <w:rsid w:val="008A0348"/>
    <w:rsid w:val="008A0711"/>
    <w:rsid w:val="008A11EA"/>
    <w:rsid w:val="008A1253"/>
    <w:rsid w:val="008A1326"/>
    <w:rsid w:val="008A1683"/>
    <w:rsid w:val="008A19D1"/>
    <w:rsid w:val="008A1D90"/>
    <w:rsid w:val="008A1EDA"/>
    <w:rsid w:val="008A29C2"/>
    <w:rsid w:val="008A2D93"/>
    <w:rsid w:val="008A2DE4"/>
    <w:rsid w:val="008A33A1"/>
    <w:rsid w:val="008A395D"/>
    <w:rsid w:val="008A3A5C"/>
    <w:rsid w:val="008A4305"/>
    <w:rsid w:val="008A4591"/>
    <w:rsid w:val="008A47A6"/>
    <w:rsid w:val="008A49EB"/>
    <w:rsid w:val="008A4B57"/>
    <w:rsid w:val="008A4BC6"/>
    <w:rsid w:val="008A4F52"/>
    <w:rsid w:val="008A5070"/>
    <w:rsid w:val="008A5911"/>
    <w:rsid w:val="008A5F7B"/>
    <w:rsid w:val="008A6186"/>
    <w:rsid w:val="008A638E"/>
    <w:rsid w:val="008A641C"/>
    <w:rsid w:val="008A6524"/>
    <w:rsid w:val="008A65FD"/>
    <w:rsid w:val="008A6859"/>
    <w:rsid w:val="008A69BD"/>
    <w:rsid w:val="008A6A73"/>
    <w:rsid w:val="008A6C72"/>
    <w:rsid w:val="008A6D88"/>
    <w:rsid w:val="008A6FDC"/>
    <w:rsid w:val="008A7561"/>
    <w:rsid w:val="008B0361"/>
    <w:rsid w:val="008B0594"/>
    <w:rsid w:val="008B0762"/>
    <w:rsid w:val="008B0B0C"/>
    <w:rsid w:val="008B0CE3"/>
    <w:rsid w:val="008B0D99"/>
    <w:rsid w:val="008B1DD9"/>
    <w:rsid w:val="008B2095"/>
    <w:rsid w:val="008B275E"/>
    <w:rsid w:val="008B281F"/>
    <w:rsid w:val="008B29FC"/>
    <w:rsid w:val="008B2A9E"/>
    <w:rsid w:val="008B2BAE"/>
    <w:rsid w:val="008B2C8A"/>
    <w:rsid w:val="008B2DA7"/>
    <w:rsid w:val="008B322B"/>
    <w:rsid w:val="008B3494"/>
    <w:rsid w:val="008B35F9"/>
    <w:rsid w:val="008B3A0B"/>
    <w:rsid w:val="008B3CC7"/>
    <w:rsid w:val="008B3D70"/>
    <w:rsid w:val="008B3EEC"/>
    <w:rsid w:val="008B3F15"/>
    <w:rsid w:val="008B41BD"/>
    <w:rsid w:val="008B452D"/>
    <w:rsid w:val="008B45F2"/>
    <w:rsid w:val="008B4879"/>
    <w:rsid w:val="008B49B8"/>
    <w:rsid w:val="008B4C75"/>
    <w:rsid w:val="008B4DAF"/>
    <w:rsid w:val="008B4FCD"/>
    <w:rsid w:val="008B55F4"/>
    <w:rsid w:val="008B576B"/>
    <w:rsid w:val="008B5BC3"/>
    <w:rsid w:val="008B5DCE"/>
    <w:rsid w:val="008B5FFE"/>
    <w:rsid w:val="008B65F4"/>
    <w:rsid w:val="008B66DA"/>
    <w:rsid w:val="008B6733"/>
    <w:rsid w:val="008B6EC5"/>
    <w:rsid w:val="008B6F28"/>
    <w:rsid w:val="008B6FDE"/>
    <w:rsid w:val="008B7141"/>
    <w:rsid w:val="008B7179"/>
    <w:rsid w:val="008B7297"/>
    <w:rsid w:val="008B7798"/>
    <w:rsid w:val="008B790F"/>
    <w:rsid w:val="008B7ADC"/>
    <w:rsid w:val="008B7EC9"/>
    <w:rsid w:val="008B7F68"/>
    <w:rsid w:val="008C0120"/>
    <w:rsid w:val="008C0334"/>
    <w:rsid w:val="008C06C7"/>
    <w:rsid w:val="008C07FB"/>
    <w:rsid w:val="008C088A"/>
    <w:rsid w:val="008C0989"/>
    <w:rsid w:val="008C0CFF"/>
    <w:rsid w:val="008C1470"/>
    <w:rsid w:val="008C1B59"/>
    <w:rsid w:val="008C1F24"/>
    <w:rsid w:val="008C246C"/>
    <w:rsid w:val="008C27F9"/>
    <w:rsid w:val="008C2890"/>
    <w:rsid w:val="008C2D4E"/>
    <w:rsid w:val="008C2E74"/>
    <w:rsid w:val="008C2EF9"/>
    <w:rsid w:val="008C3271"/>
    <w:rsid w:val="008C3470"/>
    <w:rsid w:val="008C3716"/>
    <w:rsid w:val="008C39D2"/>
    <w:rsid w:val="008C3C45"/>
    <w:rsid w:val="008C3DED"/>
    <w:rsid w:val="008C3F36"/>
    <w:rsid w:val="008C4029"/>
    <w:rsid w:val="008C42A9"/>
    <w:rsid w:val="008C44E8"/>
    <w:rsid w:val="008C4501"/>
    <w:rsid w:val="008C46AC"/>
    <w:rsid w:val="008C48CF"/>
    <w:rsid w:val="008C54D7"/>
    <w:rsid w:val="008C5675"/>
    <w:rsid w:val="008C5A5B"/>
    <w:rsid w:val="008C5BDC"/>
    <w:rsid w:val="008C5FAD"/>
    <w:rsid w:val="008C61AF"/>
    <w:rsid w:val="008C6285"/>
    <w:rsid w:val="008C639D"/>
    <w:rsid w:val="008C6455"/>
    <w:rsid w:val="008C65B6"/>
    <w:rsid w:val="008C684A"/>
    <w:rsid w:val="008C6B49"/>
    <w:rsid w:val="008C6D77"/>
    <w:rsid w:val="008C6ED9"/>
    <w:rsid w:val="008C6FCA"/>
    <w:rsid w:val="008C7013"/>
    <w:rsid w:val="008C76AD"/>
    <w:rsid w:val="008C7A41"/>
    <w:rsid w:val="008C7E78"/>
    <w:rsid w:val="008C7F07"/>
    <w:rsid w:val="008C7F85"/>
    <w:rsid w:val="008D006E"/>
    <w:rsid w:val="008D0470"/>
    <w:rsid w:val="008D0617"/>
    <w:rsid w:val="008D070A"/>
    <w:rsid w:val="008D071F"/>
    <w:rsid w:val="008D0755"/>
    <w:rsid w:val="008D09A8"/>
    <w:rsid w:val="008D0E11"/>
    <w:rsid w:val="008D132F"/>
    <w:rsid w:val="008D16BA"/>
    <w:rsid w:val="008D1D39"/>
    <w:rsid w:val="008D2162"/>
    <w:rsid w:val="008D21F7"/>
    <w:rsid w:val="008D22EE"/>
    <w:rsid w:val="008D2717"/>
    <w:rsid w:val="008D27CE"/>
    <w:rsid w:val="008D2F2B"/>
    <w:rsid w:val="008D3418"/>
    <w:rsid w:val="008D3622"/>
    <w:rsid w:val="008D367C"/>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22"/>
    <w:rsid w:val="008D6996"/>
    <w:rsid w:val="008D6B82"/>
    <w:rsid w:val="008D6BD2"/>
    <w:rsid w:val="008D6DDB"/>
    <w:rsid w:val="008D6E4B"/>
    <w:rsid w:val="008D788A"/>
    <w:rsid w:val="008D7A3A"/>
    <w:rsid w:val="008D7BD8"/>
    <w:rsid w:val="008D7C85"/>
    <w:rsid w:val="008E01B3"/>
    <w:rsid w:val="008E0232"/>
    <w:rsid w:val="008E040E"/>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187"/>
    <w:rsid w:val="008E255C"/>
    <w:rsid w:val="008E26D2"/>
    <w:rsid w:val="008E287D"/>
    <w:rsid w:val="008E2ABA"/>
    <w:rsid w:val="008E2C17"/>
    <w:rsid w:val="008E2E08"/>
    <w:rsid w:val="008E35F7"/>
    <w:rsid w:val="008E38B0"/>
    <w:rsid w:val="008E3ABC"/>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914"/>
    <w:rsid w:val="008E6AED"/>
    <w:rsid w:val="008E6BC9"/>
    <w:rsid w:val="008E6C30"/>
    <w:rsid w:val="008E73BF"/>
    <w:rsid w:val="008E747C"/>
    <w:rsid w:val="008E750E"/>
    <w:rsid w:val="008E77AE"/>
    <w:rsid w:val="008E78C6"/>
    <w:rsid w:val="008E7E49"/>
    <w:rsid w:val="008E7FCF"/>
    <w:rsid w:val="008F01A4"/>
    <w:rsid w:val="008F060F"/>
    <w:rsid w:val="008F0CFF"/>
    <w:rsid w:val="008F13CA"/>
    <w:rsid w:val="008F15DC"/>
    <w:rsid w:val="008F198A"/>
    <w:rsid w:val="008F1A23"/>
    <w:rsid w:val="008F1B24"/>
    <w:rsid w:val="008F1CF4"/>
    <w:rsid w:val="008F1D08"/>
    <w:rsid w:val="008F1DCC"/>
    <w:rsid w:val="008F1EEA"/>
    <w:rsid w:val="008F2082"/>
    <w:rsid w:val="008F2344"/>
    <w:rsid w:val="008F25CF"/>
    <w:rsid w:val="008F2739"/>
    <w:rsid w:val="008F27EC"/>
    <w:rsid w:val="008F296F"/>
    <w:rsid w:val="008F29CB"/>
    <w:rsid w:val="008F2ACA"/>
    <w:rsid w:val="008F2DFA"/>
    <w:rsid w:val="008F3642"/>
    <w:rsid w:val="008F38D2"/>
    <w:rsid w:val="008F3C0D"/>
    <w:rsid w:val="008F401A"/>
    <w:rsid w:val="008F412A"/>
    <w:rsid w:val="008F47E2"/>
    <w:rsid w:val="008F4999"/>
    <w:rsid w:val="008F49A1"/>
    <w:rsid w:val="008F4B8F"/>
    <w:rsid w:val="008F4CF1"/>
    <w:rsid w:val="008F4E26"/>
    <w:rsid w:val="008F4EF9"/>
    <w:rsid w:val="008F4FE2"/>
    <w:rsid w:val="008F512D"/>
    <w:rsid w:val="008F5307"/>
    <w:rsid w:val="008F58EC"/>
    <w:rsid w:val="008F5B69"/>
    <w:rsid w:val="008F5BF9"/>
    <w:rsid w:val="008F5F08"/>
    <w:rsid w:val="008F6045"/>
    <w:rsid w:val="008F6A9C"/>
    <w:rsid w:val="008F6B5B"/>
    <w:rsid w:val="008F6F0D"/>
    <w:rsid w:val="008F7202"/>
    <w:rsid w:val="008F733D"/>
    <w:rsid w:val="008F7718"/>
    <w:rsid w:val="008F7CEA"/>
    <w:rsid w:val="008F7CF5"/>
    <w:rsid w:val="008F7F95"/>
    <w:rsid w:val="0090000A"/>
    <w:rsid w:val="0090007C"/>
    <w:rsid w:val="009003F6"/>
    <w:rsid w:val="00900790"/>
    <w:rsid w:val="0090086D"/>
    <w:rsid w:val="00900EA3"/>
    <w:rsid w:val="00901491"/>
    <w:rsid w:val="0090166B"/>
    <w:rsid w:val="00901712"/>
    <w:rsid w:val="00901799"/>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ED8"/>
    <w:rsid w:val="00905FD8"/>
    <w:rsid w:val="00906AE8"/>
    <w:rsid w:val="00906E44"/>
    <w:rsid w:val="00906F72"/>
    <w:rsid w:val="0090733C"/>
    <w:rsid w:val="009078D0"/>
    <w:rsid w:val="00907C62"/>
    <w:rsid w:val="00907ED4"/>
    <w:rsid w:val="00910192"/>
    <w:rsid w:val="0091028F"/>
    <w:rsid w:val="0091030E"/>
    <w:rsid w:val="00910934"/>
    <w:rsid w:val="00910B2B"/>
    <w:rsid w:val="00910CA1"/>
    <w:rsid w:val="00910FD8"/>
    <w:rsid w:val="00911377"/>
    <w:rsid w:val="009113BF"/>
    <w:rsid w:val="00911422"/>
    <w:rsid w:val="0091175E"/>
    <w:rsid w:val="00911825"/>
    <w:rsid w:val="009118E8"/>
    <w:rsid w:val="00911975"/>
    <w:rsid w:val="00911CC2"/>
    <w:rsid w:val="009120C4"/>
    <w:rsid w:val="00912A1B"/>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7E"/>
    <w:rsid w:val="00915A9F"/>
    <w:rsid w:val="00915E74"/>
    <w:rsid w:val="00915F06"/>
    <w:rsid w:val="009162C7"/>
    <w:rsid w:val="00916550"/>
    <w:rsid w:val="00916756"/>
    <w:rsid w:val="00916A44"/>
    <w:rsid w:val="00916F51"/>
    <w:rsid w:val="00916FF9"/>
    <w:rsid w:val="009170CB"/>
    <w:rsid w:val="009177ED"/>
    <w:rsid w:val="00917ADC"/>
    <w:rsid w:val="009207FA"/>
    <w:rsid w:val="00920A05"/>
    <w:rsid w:val="00920A71"/>
    <w:rsid w:val="00920F78"/>
    <w:rsid w:val="00920FEA"/>
    <w:rsid w:val="0092165F"/>
    <w:rsid w:val="009216B1"/>
    <w:rsid w:val="0092178D"/>
    <w:rsid w:val="00921D19"/>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40D"/>
    <w:rsid w:val="009246E1"/>
    <w:rsid w:val="00924889"/>
    <w:rsid w:val="00924F0D"/>
    <w:rsid w:val="00924F24"/>
    <w:rsid w:val="00924F3B"/>
    <w:rsid w:val="00925045"/>
    <w:rsid w:val="009251F5"/>
    <w:rsid w:val="00925950"/>
    <w:rsid w:val="009260A3"/>
    <w:rsid w:val="00926269"/>
    <w:rsid w:val="009264D7"/>
    <w:rsid w:val="00926CE8"/>
    <w:rsid w:val="00927499"/>
    <w:rsid w:val="00927795"/>
    <w:rsid w:val="0092795B"/>
    <w:rsid w:val="00927FDC"/>
    <w:rsid w:val="00930168"/>
    <w:rsid w:val="00930383"/>
    <w:rsid w:val="00930536"/>
    <w:rsid w:val="0093091F"/>
    <w:rsid w:val="009309E4"/>
    <w:rsid w:val="00930C64"/>
    <w:rsid w:val="00930F83"/>
    <w:rsid w:val="00931024"/>
    <w:rsid w:val="00931068"/>
    <w:rsid w:val="00931497"/>
    <w:rsid w:val="009318DE"/>
    <w:rsid w:val="009319E2"/>
    <w:rsid w:val="00931CC4"/>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4D"/>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6EB"/>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247"/>
    <w:rsid w:val="009422BA"/>
    <w:rsid w:val="009427A6"/>
    <w:rsid w:val="009427C5"/>
    <w:rsid w:val="009429CC"/>
    <w:rsid w:val="00942A6D"/>
    <w:rsid w:val="00942BCB"/>
    <w:rsid w:val="00942EA6"/>
    <w:rsid w:val="00942F5C"/>
    <w:rsid w:val="00943425"/>
    <w:rsid w:val="00943913"/>
    <w:rsid w:val="00943F55"/>
    <w:rsid w:val="0094454E"/>
    <w:rsid w:val="00944778"/>
    <w:rsid w:val="0094484A"/>
    <w:rsid w:val="00944F9A"/>
    <w:rsid w:val="009453AF"/>
    <w:rsid w:val="00945DA5"/>
    <w:rsid w:val="00945F52"/>
    <w:rsid w:val="00946126"/>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1CAF"/>
    <w:rsid w:val="00952408"/>
    <w:rsid w:val="00952609"/>
    <w:rsid w:val="00952AA0"/>
    <w:rsid w:val="00952BC4"/>
    <w:rsid w:val="00953324"/>
    <w:rsid w:val="009533CE"/>
    <w:rsid w:val="0095343B"/>
    <w:rsid w:val="00953464"/>
    <w:rsid w:val="00953AD9"/>
    <w:rsid w:val="00953DDE"/>
    <w:rsid w:val="00954143"/>
    <w:rsid w:val="00954435"/>
    <w:rsid w:val="009544B9"/>
    <w:rsid w:val="00954931"/>
    <w:rsid w:val="00954A97"/>
    <w:rsid w:val="00954B7B"/>
    <w:rsid w:val="00954C9C"/>
    <w:rsid w:val="00954DC8"/>
    <w:rsid w:val="00955062"/>
    <w:rsid w:val="0095511F"/>
    <w:rsid w:val="00955348"/>
    <w:rsid w:val="0095552A"/>
    <w:rsid w:val="00955539"/>
    <w:rsid w:val="0095558A"/>
    <w:rsid w:val="00955B9D"/>
    <w:rsid w:val="00955BB0"/>
    <w:rsid w:val="009565B4"/>
    <w:rsid w:val="0095674B"/>
    <w:rsid w:val="00956D9A"/>
    <w:rsid w:val="00956F06"/>
    <w:rsid w:val="00956FF1"/>
    <w:rsid w:val="009572F5"/>
    <w:rsid w:val="009573D0"/>
    <w:rsid w:val="009573D7"/>
    <w:rsid w:val="009575BA"/>
    <w:rsid w:val="009579D6"/>
    <w:rsid w:val="00957AFC"/>
    <w:rsid w:val="00960749"/>
    <w:rsid w:val="00960B25"/>
    <w:rsid w:val="00960C43"/>
    <w:rsid w:val="00960D08"/>
    <w:rsid w:val="00961206"/>
    <w:rsid w:val="00961319"/>
    <w:rsid w:val="00961B47"/>
    <w:rsid w:val="00961E9E"/>
    <w:rsid w:val="009627B7"/>
    <w:rsid w:val="0096298E"/>
    <w:rsid w:val="00962F09"/>
    <w:rsid w:val="009630F6"/>
    <w:rsid w:val="009635E8"/>
    <w:rsid w:val="0096394B"/>
    <w:rsid w:val="00963B3B"/>
    <w:rsid w:val="00963EF7"/>
    <w:rsid w:val="00963FF8"/>
    <w:rsid w:val="009640C4"/>
    <w:rsid w:val="0096416D"/>
    <w:rsid w:val="0096419F"/>
    <w:rsid w:val="009641C4"/>
    <w:rsid w:val="00964FC9"/>
    <w:rsid w:val="0096505E"/>
    <w:rsid w:val="009650A7"/>
    <w:rsid w:val="009652BE"/>
    <w:rsid w:val="00965333"/>
    <w:rsid w:val="00965446"/>
    <w:rsid w:val="009655C7"/>
    <w:rsid w:val="0096588F"/>
    <w:rsid w:val="00965A27"/>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46D"/>
    <w:rsid w:val="00970524"/>
    <w:rsid w:val="00970638"/>
    <w:rsid w:val="00970B0F"/>
    <w:rsid w:val="00970C5A"/>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4206"/>
    <w:rsid w:val="009745EC"/>
    <w:rsid w:val="00974A9E"/>
    <w:rsid w:val="00974C8E"/>
    <w:rsid w:val="00975119"/>
    <w:rsid w:val="0097523A"/>
    <w:rsid w:val="0097577E"/>
    <w:rsid w:val="00975CB8"/>
    <w:rsid w:val="00975CD0"/>
    <w:rsid w:val="009761FE"/>
    <w:rsid w:val="009768C6"/>
    <w:rsid w:val="00976BC7"/>
    <w:rsid w:val="00977243"/>
    <w:rsid w:val="00977486"/>
    <w:rsid w:val="00977916"/>
    <w:rsid w:val="00977EB6"/>
    <w:rsid w:val="00980047"/>
    <w:rsid w:val="00980A62"/>
    <w:rsid w:val="00980AD2"/>
    <w:rsid w:val="00980C8E"/>
    <w:rsid w:val="00980DB3"/>
    <w:rsid w:val="00980E0A"/>
    <w:rsid w:val="009813B4"/>
    <w:rsid w:val="009813C8"/>
    <w:rsid w:val="00981431"/>
    <w:rsid w:val="0098182A"/>
    <w:rsid w:val="00981ECB"/>
    <w:rsid w:val="009822DE"/>
    <w:rsid w:val="00982382"/>
    <w:rsid w:val="0098243A"/>
    <w:rsid w:val="009827C3"/>
    <w:rsid w:val="00982937"/>
    <w:rsid w:val="009829EC"/>
    <w:rsid w:val="00983023"/>
    <w:rsid w:val="00983409"/>
    <w:rsid w:val="00983C22"/>
    <w:rsid w:val="00983CC9"/>
    <w:rsid w:val="00983D19"/>
    <w:rsid w:val="00983E62"/>
    <w:rsid w:val="00984069"/>
    <w:rsid w:val="00984427"/>
    <w:rsid w:val="009844F1"/>
    <w:rsid w:val="0098466F"/>
    <w:rsid w:val="00984988"/>
    <w:rsid w:val="0098509F"/>
    <w:rsid w:val="009853CB"/>
    <w:rsid w:val="00985BE6"/>
    <w:rsid w:val="00985D7C"/>
    <w:rsid w:val="00985D97"/>
    <w:rsid w:val="0098622A"/>
    <w:rsid w:val="009862A4"/>
    <w:rsid w:val="009866C3"/>
    <w:rsid w:val="00986D75"/>
    <w:rsid w:val="00986DDF"/>
    <w:rsid w:val="00987320"/>
    <w:rsid w:val="0098763C"/>
    <w:rsid w:val="009876B6"/>
    <w:rsid w:val="00987B03"/>
    <w:rsid w:val="00987D24"/>
    <w:rsid w:val="00987DCC"/>
    <w:rsid w:val="00987E5A"/>
    <w:rsid w:val="00987F8E"/>
    <w:rsid w:val="00990348"/>
    <w:rsid w:val="009903F0"/>
    <w:rsid w:val="009904E6"/>
    <w:rsid w:val="00990538"/>
    <w:rsid w:val="00990818"/>
    <w:rsid w:val="009908F5"/>
    <w:rsid w:val="00990C7F"/>
    <w:rsid w:val="00990D54"/>
    <w:rsid w:val="00990D72"/>
    <w:rsid w:val="00990DE1"/>
    <w:rsid w:val="00990FCD"/>
    <w:rsid w:val="00991080"/>
    <w:rsid w:val="0099146B"/>
    <w:rsid w:val="00991657"/>
    <w:rsid w:val="0099198A"/>
    <w:rsid w:val="00991DCB"/>
    <w:rsid w:val="00991ED0"/>
    <w:rsid w:val="00991EE8"/>
    <w:rsid w:val="0099269E"/>
    <w:rsid w:val="009926B4"/>
    <w:rsid w:val="00992A2F"/>
    <w:rsid w:val="00992CEC"/>
    <w:rsid w:val="00992E50"/>
    <w:rsid w:val="00993043"/>
    <w:rsid w:val="00993217"/>
    <w:rsid w:val="009932EA"/>
    <w:rsid w:val="009934EE"/>
    <w:rsid w:val="00993A0A"/>
    <w:rsid w:val="00993A38"/>
    <w:rsid w:val="009940DC"/>
    <w:rsid w:val="00994421"/>
    <w:rsid w:val="00994461"/>
    <w:rsid w:val="009946FC"/>
    <w:rsid w:val="00994734"/>
    <w:rsid w:val="0099481D"/>
    <w:rsid w:val="00994C43"/>
    <w:rsid w:val="0099532B"/>
    <w:rsid w:val="00995574"/>
    <w:rsid w:val="009959EF"/>
    <w:rsid w:val="00995C7C"/>
    <w:rsid w:val="00995D83"/>
    <w:rsid w:val="00995E9E"/>
    <w:rsid w:val="0099611A"/>
    <w:rsid w:val="00996153"/>
    <w:rsid w:val="0099631A"/>
    <w:rsid w:val="00996DF9"/>
    <w:rsid w:val="00997B01"/>
    <w:rsid w:val="00997C12"/>
    <w:rsid w:val="00997DE4"/>
    <w:rsid w:val="009A008B"/>
    <w:rsid w:val="009A0A7C"/>
    <w:rsid w:val="009A0BC0"/>
    <w:rsid w:val="009A0BE2"/>
    <w:rsid w:val="009A0F0C"/>
    <w:rsid w:val="009A133D"/>
    <w:rsid w:val="009A1747"/>
    <w:rsid w:val="009A1B2D"/>
    <w:rsid w:val="009A1F75"/>
    <w:rsid w:val="009A1FC0"/>
    <w:rsid w:val="009A2066"/>
    <w:rsid w:val="009A2372"/>
    <w:rsid w:val="009A23C7"/>
    <w:rsid w:val="009A2889"/>
    <w:rsid w:val="009A29D0"/>
    <w:rsid w:val="009A2A11"/>
    <w:rsid w:val="009A3009"/>
    <w:rsid w:val="009A312B"/>
    <w:rsid w:val="009A3327"/>
    <w:rsid w:val="009A338E"/>
    <w:rsid w:val="009A348F"/>
    <w:rsid w:val="009A39C2"/>
    <w:rsid w:val="009A3A47"/>
    <w:rsid w:val="009A3F87"/>
    <w:rsid w:val="009A40BF"/>
    <w:rsid w:val="009A4179"/>
    <w:rsid w:val="009A4444"/>
    <w:rsid w:val="009A49A3"/>
    <w:rsid w:val="009A4DBB"/>
    <w:rsid w:val="009A4E03"/>
    <w:rsid w:val="009A5035"/>
    <w:rsid w:val="009A5218"/>
    <w:rsid w:val="009A53C1"/>
    <w:rsid w:val="009A593F"/>
    <w:rsid w:val="009A6BA0"/>
    <w:rsid w:val="009A6DFE"/>
    <w:rsid w:val="009A6FB8"/>
    <w:rsid w:val="009A747C"/>
    <w:rsid w:val="009A7534"/>
    <w:rsid w:val="009A7B42"/>
    <w:rsid w:val="009A7D40"/>
    <w:rsid w:val="009B0298"/>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43DB"/>
    <w:rsid w:val="009B4840"/>
    <w:rsid w:val="009B4C3A"/>
    <w:rsid w:val="009B54F0"/>
    <w:rsid w:val="009B56AB"/>
    <w:rsid w:val="009B59BA"/>
    <w:rsid w:val="009B59D5"/>
    <w:rsid w:val="009B5C85"/>
    <w:rsid w:val="009B5CF0"/>
    <w:rsid w:val="009B600F"/>
    <w:rsid w:val="009B608B"/>
    <w:rsid w:val="009B6474"/>
    <w:rsid w:val="009B6BEE"/>
    <w:rsid w:val="009B6DA1"/>
    <w:rsid w:val="009B6F18"/>
    <w:rsid w:val="009B72EC"/>
    <w:rsid w:val="009B775B"/>
    <w:rsid w:val="009B7794"/>
    <w:rsid w:val="009B77C0"/>
    <w:rsid w:val="009B7E3F"/>
    <w:rsid w:val="009B7F4D"/>
    <w:rsid w:val="009C01DF"/>
    <w:rsid w:val="009C057A"/>
    <w:rsid w:val="009C0825"/>
    <w:rsid w:val="009C08F4"/>
    <w:rsid w:val="009C0B67"/>
    <w:rsid w:val="009C0B80"/>
    <w:rsid w:val="009C0E1C"/>
    <w:rsid w:val="009C13A8"/>
    <w:rsid w:val="009C1800"/>
    <w:rsid w:val="009C18A2"/>
    <w:rsid w:val="009C1B82"/>
    <w:rsid w:val="009C1C67"/>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2B8"/>
    <w:rsid w:val="009C4351"/>
    <w:rsid w:val="009C489F"/>
    <w:rsid w:val="009C4A09"/>
    <w:rsid w:val="009C4DAF"/>
    <w:rsid w:val="009C5151"/>
    <w:rsid w:val="009C5436"/>
    <w:rsid w:val="009C54DA"/>
    <w:rsid w:val="009C5DA3"/>
    <w:rsid w:val="009C60E7"/>
    <w:rsid w:val="009C6179"/>
    <w:rsid w:val="009C64A4"/>
    <w:rsid w:val="009C66D7"/>
    <w:rsid w:val="009C67C1"/>
    <w:rsid w:val="009C6AEA"/>
    <w:rsid w:val="009C6E65"/>
    <w:rsid w:val="009C7115"/>
    <w:rsid w:val="009C73C8"/>
    <w:rsid w:val="009C761F"/>
    <w:rsid w:val="009C79CA"/>
    <w:rsid w:val="009C7B87"/>
    <w:rsid w:val="009D0023"/>
    <w:rsid w:val="009D0030"/>
    <w:rsid w:val="009D018D"/>
    <w:rsid w:val="009D0231"/>
    <w:rsid w:val="009D0873"/>
    <w:rsid w:val="009D0CD3"/>
    <w:rsid w:val="009D1091"/>
    <w:rsid w:val="009D1147"/>
    <w:rsid w:val="009D11B1"/>
    <w:rsid w:val="009D152F"/>
    <w:rsid w:val="009D1560"/>
    <w:rsid w:val="009D17C2"/>
    <w:rsid w:val="009D1D17"/>
    <w:rsid w:val="009D1DA3"/>
    <w:rsid w:val="009D1F33"/>
    <w:rsid w:val="009D209F"/>
    <w:rsid w:val="009D2799"/>
    <w:rsid w:val="009D27BC"/>
    <w:rsid w:val="009D2899"/>
    <w:rsid w:val="009D2DF1"/>
    <w:rsid w:val="009D2E19"/>
    <w:rsid w:val="009D2E26"/>
    <w:rsid w:val="009D2FC5"/>
    <w:rsid w:val="009D364B"/>
    <w:rsid w:val="009D36EF"/>
    <w:rsid w:val="009D3C29"/>
    <w:rsid w:val="009D4541"/>
    <w:rsid w:val="009D482C"/>
    <w:rsid w:val="009D4848"/>
    <w:rsid w:val="009D4C42"/>
    <w:rsid w:val="009D4D74"/>
    <w:rsid w:val="009D4F81"/>
    <w:rsid w:val="009D52BA"/>
    <w:rsid w:val="009D54D6"/>
    <w:rsid w:val="009D556B"/>
    <w:rsid w:val="009D570A"/>
    <w:rsid w:val="009D5920"/>
    <w:rsid w:val="009D5D8F"/>
    <w:rsid w:val="009D5DB5"/>
    <w:rsid w:val="009D66C8"/>
    <w:rsid w:val="009D67A0"/>
    <w:rsid w:val="009D698F"/>
    <w:rsid w:val="009D6FDB"/>
    <w:rsid w:val="009D7218"/>
    <w:rsid w:val="009D749F"/>
    <w:rsid w:val="009D77B7"/>
    <w:rsid w:val="009D7E9E"/>
    <w:rsid w:val="009E0213"/>
    <w:rsid w:val="009E0533"/>
    <w:rsid w:val="009E056D"/>
    <w:rsid w:val="009E0767"/>
    <w:rsid w:val="009E0796"/>
    <w:rsid w:val="009E09E4"/>
    <w:rsid w:val="009E1032"/>
    <w:rsid w:val="009E1431"/>
    <w:rsid w:val="009E14C5"/>
    <w:rsid w:val="009E1885"/>
    <w:rsid w:val="009E18E1"/>
    <w:rsid w:val="009E1AA3"/>
    <w:rsid w:val="009E1B33"/>
    <w:rsid w:val="009E1CAE"/>
    <w:rsid w:val="009E1D92"/>
    <w:rsid w:val="009E20A1"/>
    <w:rsid w:val="009E221F"/>
    <w:rsid w:val="009E286F"/>
    <w:rsid w:val="009E29D7"/>
    <w:rsid w:val="009E29DA"/>
    <w:rsid w:val="009E29FE"/>
    <w:rsid w:val="009E2BBD"/>
    <w:rsid w:val="009E2BCA"/>
    <w:rsid w:val="009E2D3C"/>
    <w:rsid w:val="009E3061"/>
    <w:rsid w:val="009E35D8"/>
    <w:rsid w:val="009E3914"/>
    <w:rsid w:val="009E395C"/>
    <w:rsid w:val="009E3B8B"/>
    <w:rsid w:val="009E3BFC"/>
    <w:rsid w:val="009E3E28"/>
    <w:rsid w:val="009E44D7"/>
    <w:rsid w:val="009E4A33"/>
    <w:rsid w:val="009E4BD3"/>
    <w:rsid w:val="009E4C53"/>
    <w:rsid w:val="009E5170"/>
    <w:rsid w:val="009E520A"/>
    <w:rsid w:val="009E54C8"/>
    <w:rsid w:val="009E59A2"/>
    <w:rsid w:val="009E5B19"/>
    <w:rsid w:val="009E5F11"/>
    <w:rsid w:val="009E62BA"/>
    <w:rsid w:val="009E6336"/>
    <w:rsid w:val="009E66CD"/>
    <w:rsid w:val="009E6CDF"/>
    <w:rsid w:val="009E77EC"/>
    <w:rsid w:val="009E7F5A"/>
    <w:rsid w:val="009E7F7E"/>
    <w:rsid w:val="009F03F4"/>
    <w:rsid w:val="009F0A1A"/>
    <w:rsid w:val="009F0C9D"/>
    <w:rsid w:val="009F0E47"/>
    <w:rsid w:val="009F0F31"/>
    <w:rsid w:val="009F109F"/>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B1"/>
    <w:rsid w:val="009F52FD"/>
    <w:rsid w:val="009F5367"/>
    <w:rsid w:val="009F57B2"/>
    <w:rsid w:val="009F5DC2"/>
    <w:rsid w:val="009F5DF5"/>
    <w:rsid w:val="009F5E6F"/>
    <w:rsid w:val="009F5F11"/>
    <w:rsid w:val="009F61ED"/>
    <w:rsid w:val="009F633D"/>
    <w:rsid w:val="009F65F2"/>
    <w:rsid w:val="009F66DE"/>
    <w:rsid w:val="009F6803"/>
    <w:rsid w:val="009F6BE3"/>
    <w:rsid w:val="009F6CD7"/>
    <w:rsid w:val="009F718A"/>
    <w:rsid w:val="009F7252"/>
    <w:rsid w:val="009F7391"/>
    <w:rsid w:val="009F75A4"/>
    <w:rsid w:val="009F789C"/>
    <w:rsid w:val="009F7B6C"/>
    <w:rsid w:val="009F7EDA"/>
    <w:rsid w:val="00A00253"/>
    <w:rsid w:val="00A002FB"/>
    <w:rsid w:val="00A00488"/>
    <w:rsid w:val="00A007D1"/>
    <w:rsid w:val="00A00D7F"/>
    <w:rsid w:val="00A00D8F"/>
    <w:rsid w:val="00A00E0D"/>
    <w:rsid w:val="00A013F5"/>
    <w:rsid w:val="00A0211F"/>
    <w:rsid w:val="00A023E3"/>
    <w:rsid w:val="00A02680"/>
    <w:rsid w:val="00A02744"/>
    <w:rsid w:val="00A027D7"/>
    <w:rsid w:val="00A029BB"/>
    <w:rsid w:val="00A029BE"/>
    <w:rsid w:val="00A02E04"/>
    <w:rsid w:val="00A032C3"/>
    <w:rsid w:val="00A0335B"/>
    <w:rsid w:val="00A03385"/>
    <w:rsid w:val="00A0395C"/>
    <w:rsid w:val="00A03D06"/>
    <w:rsid w:val="00A03EB9"/>
    <w:rsid w:val="00A0417A"/>
    <w:rsid w:val="00A0480E"/>
    <w:rsid w:val="00A04838"/>
    <w:rsid w:val="00A04FDA"/>
    <w:rsid w:val="00A05045"/>
    <w:rsid w:val="00A05221"/>
    <w:rsid w:val="00A0532C"/>
    <w:rsid w:val="00A0581E"/>
    <w:rsid w:val="00A05B7B"/>
    <w:rsid w:val="00A05CAF"/>
    <w:rsid w:val="00A062EF"/>
    <w:rsid w:val="00A06433"/>
    <w:rsid w:val="00A06434"/>
    <w:rsid w:val="00A0662C"/>
    <w:rsid w:val="00A06661"/>
    <w:rsid w:val="00A0675C"/>
    <w:rsid w:val="00A069AD"/>
    <w:rsid w:val="00A06C38"/>
    <w:rsid w:val="00A06CA0"/>
    <w:rsid w:val="00A06CD4"/>
    <w:rsid w:val="00A06E04"/>
    <w:rsid w:val="00A07373"/>
    <w:rsid w:val="00A074D2"/>
    <w:rsid w:val="00A0768C"/>
    <w:rsid w:val="00A076F2"/>
    <w:rsid w:val="00A07785"/>
    <w:rsid w:val="00A0779D"/>
    <w:rsid w:val="00A07A2C"/>
    <w:rsid w:val="00A100B5"/>
    <w:rsid w:val="00A10473"/>
    <w:rsid w:val="00A1109A"/>
    <w:rsid w:val="00A112AE"/>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7DB"/>
    <w:rsid w:val="00A13812"/>
    <w:rsid w:val="00A13E25"/>
    <w:rsid w:val="00A1405B"/>
    <w:rsid w:val="00A141BC"/>
    <w:rsid w:val="00A1422C"/>
    <w:rsid w:val="00A1428D"/>
    <w:rsid w:val="00A1457E"/>
    <w:rsid w:val="00A149E3"/>
    <w:rsid w:val="00A14F2E"/>
    <w:rsid w:val="00A1517C"/>
    <w:rsid w:val="00A152B2"/>
    <w:rsid w:val="00A152B9"/>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546"/>
    <w:rsid w:val="00A2174E"/>
    <w:rsid w:val="00A223E7"/>
    <w:rsid w:val="00A225EB"/>
    <w:rsid w:val="00A22655"/>
    <w:rsid w:val="00A226D8"/>
    <w:rsid w:val="00A22F35"/>
    <w:rsid w:val="00A2361A"/>
    <w:rsid w:val="00A239D9"/>
    <w:rsid w:val="00A23DE3"/>
    <w:rsid w:val="00A24118"/>
    <w:rsid w:val="00A24210"/>
    <w:rsid w:val="00A242F1"/>
    <w:rsid w:val="00A2464E"/>
    <w:rsid w:val="00A2466A"/>
    <w:rsid w:val="00A2489C"/>
    <w:rsid w:val="00A24BA1"/>
    <w:rsid w:val="00A24C4B"/>
    <w:rsid w:val="00A24CEC"/>
    <w:rsid w:val="00A24D15"/>
    <w:rsid w:val="00A252A2"/>
    <w:rsid w:val="00A25525"/>
    <w:rsid w:val="00A25716"/>
    <w:rsid w:val="00A258FD"/>
    <w:rsid w:val="00A25BCD"/>
    <w:rsid w:val="00A25DD9"/>
    <w:rsid w:val="00A25F7F"/>
    <w:rsid w:val="00A26147"/>
    <w:rsid w:val="00A263B0"/>
    <w:rsid w:val="00A26690"/>
    <w:rsid w:val="00A26D34"/>
    <w:rsid w:val="00A26E15"/>
    <w:rsid w:val="00A26F95"/>
    <w:rsid w:val="00A27172"/>
    <w:rsid w:val="00A274A4"/>
    <w:rsid w:val="00A274D2"/>
    <w:rsid w:val="00A2756A"/>
    <w:rsid w:val="00A27795"/>
    <w:rsid w:val="00A277F9"/>
    <w:rsid w:val="00A27D29"/>
    <w:rsid w:val="00A302FF"/>
    <w:rsid w:val="00A3081B"/>
    <w:rsid w:val="00A30B27"/>
    <w:rsid w:val="00A30B49"/>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0FC"/>
    <w:rsid w:val="00A341B9"/>
    <w:rsid w:val="00A34413"/>
    <w:rsid w:val="00A344B0"/>
    <w:rsid w:val="00A344D8"/>
    <w:rsid w:val="00A3458D"/>
    <w:rsid w:val="00A3459A"/>
    <w:rsid w:val="00A34744"/>
    <w:rsid w:val="00A3487F"/>
    <w:rsid w:val="00A348D9"/>
    <w:rsid w:val="00A34CB6"/>
    <w:rsid w:val="00A352C6"/>
    <w:rsid w:val="00A35396"/>
    <w:rsid w:val="00A35AA5"/>
    <w:rsid w:val="00A35D80"/>
    <w:rsid w:val="00A35D99"/>
    <w:rsid w:val="00A35DD4"/>
    <w:rsid w:val="00A35DE8"/>
    <w:rsid w:val="00A35E50"/>
    <w:rsid w:val="00A364FB"/>
    <w:rsid w:val="00A368D5"/>
    <w:rsid w:val="00A37004"/>
    <w:rsid w:val="00A3700C"/>
    <w:rsid w:val="00A370F7"/>
    <w:rsid w:val="00A375D9"/>
    <w:rsid w:val="00A375F0"/>
    <w:rsid w:val="00A37E48"/>
    <w:rsid w:val="00A40610"/>
    <w:rsid w:val="00A40965"/>
    <w:rsid w:val="00A40C0E"/>
    <w:rsid w:val="00A40E30"/>
    <w:rsid w:val="00A41036"/>
    <w:rsid w:val="00A412BE"/>
    <w:rsid w:val="00A41551"/>
    <w:rsid w:val="00A41595"/>
    <w:rsid w:val="00A41662"/>
    <w:rsid w:val="00A4178C"/>
    <w:rsid w:val="00A41988"/>
    <w:rsid w:val="00A41B55"/>
    <w:rsid w:val="00A41D81"/>
    <w:rsid w:val="00A41E1F"/>
    <w:rsid w:val="00A4222A"/>
    <w:rsid w:val="00A42685"/>
    <w:rsid w:val="00A42998"/>
    <w:rsid w:val="00A42B51"/>
    <w:rsid w:val="00A42CE4"/>
    <w:rsid w:val="00A42D0B"/>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8C6"/>
    <w:rsid w:val="00A50B55"/>
    <w:rsid w:val="00A50BA9"/>
    <w:rsid w:val="00A50C5E"/>
    <w:rsid w:val="00A50C5F"/>
    <w:rsid w:val="00A50DD5"/>
    <w:rsid w:val="00A5106E"/>
    <w:rsid w:val="00A510CA"/>
    <w:rsid w:val="00A511D9"/>
    <w:rsid w:val="00A51970"/>
    <w:rsid w:val="00A51EB9"/>
    <w:rsid w:val="00A5220C"/>
    <w:rsid w:val="00A52389"/>
    <w:rsid w:val="00A523C4"/>
    <w:rsid w:val="00A524B2"/>
    <w:rsid w:val="00A5274E"/>
    <w:rsid w:val="00A5291E"/>
    <w:rsid w:val="00A52A04"/>
    <w:rsid w:val="00A52A34"/>
    <w:rsid w:val="00A52B05"/>
    <w:rsid w:val="00A52C57"/>
    <w:rsid w:val="00A53088"/>
    <w:rsid w:val="00A53558"/>
    <w:rsid w:val="00A53858"/>
    <w:rsid w:val="00A538C5"/>
    <w:rsid w:val="00A53B7E"/>
    <w:rsid w:val="00A53BCB"/>
    <w:rsid w:val="00A53C06"/>
    <w:rsid w:val="00A542C6"/>
    <w:rsid w:val="00A54316"/>
    <w:rsid w:val="00A54399"/>
    <w:rsid w:val="00A5474C"/>
    <w:rsid w:val="00A54D73"/>
    <w:rsid w:val="00A54DE9"/>
    <w:rsid w:val="00A54F66"/>
    <w:rsid w:val="00A55090"/>
    <w:rsid w:val="00A55115"/>
    <w:rsid w:val="00A555DD"/>
    <w:rsid w:val="00A55705"/>
    <w:rsid w:val="00A55B59"/>
    <w:rsid w:val="00A55CE0"/>
    <w:rsid w:val="00A56052"/>
    <w:rsid w:val="00A5671B"/>
    <w:rsid w:val="00A56863"/>
    <w:rsid w:val="00A568A6"/>
    <w:rsid w:val="00A569E6"/>
    <w:rsid w:val="00A56D67"/>
    <w:rsid w:val="00A56E02"/>
    <w:rsid w:val="00A56E26"/>
    <w:rsid w:val="00A57649"/>
    <w:rsid w:val="00A5765B"/>
    <w:rsid w:val="00A57D06"/>
    <w:rsid w:val="00A57D52"/>
    <w:rsid w:val="00A57D6E"/>
    <w:rsid w:val="00A600C4"/>
    <w:rsid w:val="00A60168"/>
    <w:rsid w:val="00A601DC"/>
    <w:rsid w:val="00A60F58"/>
    <w:rsid w:val="00A61578"/>
    <w:rsid w:val="00A61821"/>
    <w:rsid w:val="00A62147"/>
    <w:rsid w:val="00A6238B"/>
    <w:rsid w:val="00A624E1"/>
    <w:rsid w:val="00A6306A"/>
    <w:rsid w:val="00A630EB"/>
    <w:rsid w:val="00A631B1"/>
    <w:rsid w:val="00A6351F"/>
    <w:rsid w:val="00A63520"/>
    <w:rsid w:val="00A63A53"/>
    <w:rsid w:val="00A63B5E"/>
    <w:rsid w:val="00A64452"/>
    <w:rsid w:val="00A648DC"/>
    <w:rsid w:val="00A64C3E"/>
    <w:rsid w:val="00A6517C"/>
    <w:rsid w:val="00A65672"/>
    <w:rsid w:val="00A65A77"/>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E7A"/>
    <w:rsid w:val="00A67F87"/>
    <w:rsid w:val="00A700DC"/>
    <w:rsid w:val="00A701DF"/>
    <w:rsid w:val="00A701E5"/>
    <w:rsid w:val="00A702D4"/>
    <w:rsid w:val="00A705DF"/>
    <w:rsid w:val="00A70744"/>
    <w:rsid w:val="00A70A71"/>
    <w:rsid w:val="00A70C3A"/>
    <w:rsid w:val="00A70E0D"/>
    <w:rsid w:val="00A70F9B"/>
    <w:rsid w:val="00A71230"/>
    <w:rsid w:val="00A71742"/>
    <w:rsid w:val="00A71770"/>
    <w:rsid w:val="00A71958"/>
    <w:rsid w:val="00A71A93"/>
    <w:rsid w:val="00A71DDB"/>
    <w:rsid w:val="00A71FAD"/>
    <w:rsid w:val="00A72123"/>
    <w:rsid w:val="00A7245B"/>
    <w:rsid w:val="00A72F4D"/>
    <w:rsid w:val="00A7309B"/>
    <w:rsid w:val="00A7414B"/>
    <w:rsid w:val="00A74219"/>
    <w:rsid w:val="00A746CD"/>
    <w:rsid w:val="00A74D67"/>
    <w:rsid w:val="00A74FCA"/>
    <w:rsid w:val="00A7522C"/>
    <w:rsid w:val="00A75293"/>
    <w:rsid w:val="00A75443"/>
    <w:rsid w:val="00A756C1"/>
    <w:rsid w:val="00A756EA"/>
    <w:rsid w:val="00A758DA"/>
    <w:rsid w:val="00A75B00"/>
    <w:rsid w:val="00A75E46"/>
    <w:rsid w:val="00A7621C"/>
    <w:rsid w:val="00A76377"/>
    <w:rsid w:val="00A76C0C"/>
    <w:rsid w:val="00A76C52"/>
    <w:rsid w:val="00A77030"/>
    <w:rsid w:val="00A770DA"/>
    <w:rsid w:val="00A7711F"/>
    <w:rsid w:val="00A771FB"/>
    <w:rsid w:val="00A7722B"/>
    <w:rsid w:val="00A77393"/>
    <w:rsid w:val="00A77608"/>
    <w:rsid w:val="00A77730"/>
    <w:rsid w:val="00A7788A"/>
    <w:rsid w:val="00A7797B"/>
    <w:rsid w:val="00A77E28"/>
    <w:rsid w:val="00A77FE5"/>
    <w:rsid w:val="00A80005"/>
    <w:rsid w:val="00A8058C"/>
    <w:rsid w:val="00A80A85"/>
    <w:rsid w:val="00A80CA5"/>
    <w:rsid w:val="00A80DAE"/>
    <w:rsid w:val="00A80F8A"/>
    <w:rsid w:val="00A81169"/>
    <w:rsid w:val="00A81452"/>
    <w:rsid w:val="00A816CA"/>
    <w:rsid w:val="00A81C2C"/>
    <w:rsid w:val="00A81DDC"/>
    <w:rsid w:val="00A82317"/>
    <w:rsid w:val="00A8232D"/>
    <w:rsid w:val="00A82366"/>
    <w:rsid w:val="00A82606"/>
    <w:rsid w:val="00A827FD"/>
    <w:rsid w:val="00A82849"/>
    <w:rsid w:val="00A82854"/>
    <w:rsid w:val="00A8290E"/>
    <w:rsid w:val="00A82AEC"/>
    <w:rsid w:val="00A82B58"/>
    <w:rsid w:val="00A82FB6"/>
    <w:rsid w:val="00A830CB"/>
    <w:rsid w:val="00A83505"/>
    <w:rsid w:val="00A8358E"/>
    <w:rsid w:val="00A83952"/>
    <w:rsid w:val="00A83CED"/>
    <w:rsid w:val="00A83DF9"/>
    <w:rsid w:val="00A83F5A"/>
    <w:rsid w:val="00A841F4"/>
    <w:rsid w:val="00A84702"/>
    <w:rsid w:val="00A84997"/>
    <w:rsid w:val="00A84A00"/>
    <w:rsid w:val="00A84D8C"/>
    <w:rsid w:val="00A84E4F"/>
    <w:rsid w:val="00A85601"/>
    <w:rsid w:val="00A85696"/>
    <w:rsid w:val="00A85CB4"/>
    <w:rsid w:val="00A85CBF"/>
    <w:rsid w:val="00A85E11"/>
    <w:rsid w:val="00A85EA5"/>
    <w:rsid w:val="00A862F3"/>
    <w:rsid w:val="00A86C42"/>
    <w:rsid w:val="00A86C86"/>
    <w:rsid w:val="00A86E55"/>
    <w:rsid w:val="00A86F59"/>
    <w:rsid w:val="00A87680"/>
    <w:rsid w:val="00A87825"/>
    <w:rsid w:val="00A87F15"/>
    <w:rsid w:val="00A87FFA"/>
    <w:rsid w:val="00A90403"/>
    <w:rsid w:val="00A904FE"/>
    <w:rsid w:val="00A90C8C"/>
    <w:rsid w:val="00A90D73"/>
    <w:rsid w:val="00A90E1B"/>
    <w:rsid w:val="00A9122C"/>
    <w:rsid w:val="00A91243"/>
    <w:rsid w:val="00A913A9"/>
    <w:rsid w:val="00A914D9"/>
    <w:rsid w:val="00A916FD"/>
    <w:rsid w:val="00A9186E"/>
    <w:rsid w:val="00A91C6A"/>
    <w:rsid w:val="00A91C8E"/>
    <w:rsid w:val="00A9238F"/>
    <w:rsid w:val="00A92742"/>
    <w:rsid w:val="00A92AFA"/>
    <w:rsid w:val="00A92B35"/>
    <w:rsid w:val="00A92D2E"/>
    <w:rsid w:val="00A930DE"/>
    <w:rsid w:val="00A933A6"/>
    <w:rsid w:val="00A93785"/>
    <w:rsid w:val="00A93813"/>
    <w:rsid w:val="00A939E5"/>
    <w:rsid w:val="00A93BED"/>
    <w:rsid w:val="00A93D3F"/>
    <w:rsid w:val="00A93D8A"/>
    <w:rsid w:val="00A93E87"/>
    <w:rsid w:val="00A93F18"/>
    <w:rsid w:val="00A93F84"/>
    <w:rsid w:val="00A93FD5"/>
    <w:rsid w:val="00A94016"/>
    <w:rsid w:val="00A94C7E"/>
    <w:rsid w:val="00A94DE7"/>
    <w:rsid w:val="00A94FAC"/>
    <w:rsid w:val="00A952E7"/>
    <w:rsid w:val="00A95412"/>
    <w:rsid w:val="00A95700"/>
    <w:rsid w:val="00A95B94"/>
    <w:rsid w:val="00A96121"/>
    <w:rsid w:val="00A96203"/>
    <w:rsid w:val="00A9628A"/>
    <w:rsid w:val="00A9655D"/>
    <w:rsid w:val="00A96BA6"/>
    <w:rsid w:val="00A96D12"/>
    <w:rsid w:val="00A97909"/>
    <w:rsid w:val="00A9794E"/>
    <w:rsid w:val="00A97A8F"/>
    <w:rsid w:val="00A97C5E"/>
    <w:rsid w:val="00A97CE3"/>
    <w:rsid w:val="00A97F61"/>
    <w:rsid w:val="00A97FAF"/>
    <w:rsid w:val="00AA00A1"/>
    <w:rsid w:val="00AA029D"/>
    <w:rsid w:val="00AA0634"/>
    <w:rsid w:val="00AA0671"/>
    <w:rsid w:val="00AA0B0E"/>
    <w:rsid w:val="00AA0D67"/>
    <w:rsid w:val="00AA0E5F"/>
    <w:rsid w:val="00AA1011"/>
    <w:rsid w:val="00AA1176"/>
    <w:rsid w:val="00AA1477"/>
    <w:rsid w:val="00AA1521"/>
    <w:rsid w:val="00AA177D"/>
    <w:rsid w:val="00AA18A3"/>
    <w:rsid w:val="00AA195A"/>
    <w:rsid w:val="00AA1DFE"/>
    <w:rsid w:val="00AA2594"/>
    <w:rsid w:val="00AA25DA"/>
    <w:rsid w:val="00AA2761"/>
    <w:rsid w:val="00AA28DA"/>
    <w:rsid w:val="00AA2C55"/>
    <w:rsid w:val="00AA2E49"/>
    <w:rsid w:val="00AA3089"/>
    <w:rsid w:val="00AA345B"/>
    <w:rsid w:val="00AA355D"/>
    <w:rsid w:val="00AA38F4"/>
    <w:rsid w:val="00AA3AFA"/>
    <w:rsid w:val="00AA3D4D"/>
    <w:rsid w:val="00AA41EB"/>
    <w:rsid w:val="00AA43C6"/>
    <w:rsid w:val="00AA4403"/>
    <w:rsid w:val="00AA4428"/>
    <w:rsid w:val="00AA4440"/>
    <w:rsid w:val="00AA46A5"/>
    <w:rsid w:val="00AA4831"/>
    <w:rsid w:val="00AA4963"/>
    <w:rsid w:val="00AA4B52"/>
    <w:rsid w:val="00AA4BA1"/>
    <w:rsid w:val="00AA4FD2"/>
    <w:rsid w:val="00AA50F3"/>
    <w:rsid w:val="00AA5612"/>
    <w:rsid w:val="00AA5833"/>
    <w:rsid w:val="00AA5DFD"/>
    <w:rsid w:val="00AA626C"/>
    <w:rsid w:val="00AA6358"/>
    <w:rsid w:val="00AA65DC"/>
    <w:rsid w:val="00AA69AA"/>
    <w:rsid w:val="00AA6A93"/>
    <w:rsid w:val="00AA6F2C"/>
    <w:rsid w:val="00AA6FC0"/>
    <w:rsid w:val="00AA7204"/>
    <w:rsid w:val="00AA7531"/>
    <w:rsid w:val="00AA7832"/>
    <w:rsid w:val="00AA7DAE"/>
    <w:rsid w:val="00AA7FBF"/>
    <w:rsid w:val="00AB0365"/>
    <w:rsid w:val="00AB08B9"/>
    <w:rsid w:val="00AB0E86"/>
    <w:rsid w:val="00AB0EB0"/>
    <w:rsid w:val="00AB0ED2"/>
    <w:rsid w:val="00AB1012"/>
    <w:rsid w:val="00AB11B4"/>
    <w:rsid w:val="00AB11C9"/>
    <w:rsid w:val="00AB1689"/>
    <w:rsid w:val="00AB1959"/>
    <w:rsid w:val="00AB1AA0"/>
    <w:rsid w:val="00AB1D90"/>
    <w:rsid w:val="00AB1DEA"/>
    <w:rsid w:val="00AB203C"/>
    <w:rsid w:val="00AB2461"/>
    <w:rsid w:val="00AB24D6"/>
    <w:rsid w:val="00AB2743"/>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502F"/>
    <w:rsid w:val="00AB5054"/>
    <w:rsid w:val="00AB52C0"/>
    <w:rsid w:val="00AB54E0"/>
    <w:rsid w:val="00AB5502"/>
    <w:rsid w:val="00AB5629"/>
    <w:rsid w:val="00AB59BF"/>
    <w:rsid w:val="00AB5C09"/>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0FDB"/>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D16"/>
    <w:rsid w:val="00AC3DE8"/>
    <w:rsid w:val="00AC3DEA"/>
    <w:rsid w:val="00AC4016"/>
    <w:rsid w:val="00AC42E3"/>
    <w:rsid w:val="00AC4354"/>
    <w:rsid w:val="00AC44FD"/>
    <w:rsid w:val="00AC46BF"/>
    <w:rsid w:val="00AC491F"/>
    <w:rsid w:val="00AC4F95"/>
    <w:rsid w:val="00AC5140"/>
    <w:rsid w:val="00AC5447"/>
    <w:rsid w:val="00AC56BA"/>
    <w:rsid w:val="00AC588B"/>
    <w:rsid w:val="00AC5D01"/>
    <w:rsid w:val="00AC5EEE"/>
    <w:rsid w:val="00AC6048"/>
    <w:rsid w:val="00AC6295"/>
    <w:rsid w:val="00AC682B"/>
    <w:rsid w:val="00AC6A71"/>
    <w:rsid w:val="00AC6CDD"/>
    <w:rsid w:val="00AC7638"/>
    <w:rsid w:val="00AC7ACE"/>
    <w:rsid w:val="00AC7DAE"/>
    <w:rsid w:val="00AC7E2C"/>
    <w:rsid w:val="00AD00BC"/>
    <w:rsid w:val="00AD025F"/>
    <w:rsid w:val="00AD037C"/>
    <w:rsid w:val="00AD053C"/>
    <w:rsid w:val="00AD08F9"/>
    <w:rsid w:val="00AD093F"/>
    <w:rsid w:val="00AD0B37"/>
    <w:rsid w:val="00AD109B"/>
    <w:rsid w:val="00AD10E2"/>
    <w:rsid w:val="00AD118C"/>
    <w:rsid w:val="00AD164D"/>
    <w:rsid w:val="00AD1694"/>
    <w:rsid w:val="00AD16C2"/>
    <w:rsid w:val="00AD1B45"/>
    <w:rsid w:val="00AD2386"/>
    <w:rsid w:val="00AD2771"/>
    <w:rsid w:val="00AD2E56"/>
    <w:rsid w:val="00AD2ED6"/>
    <w:rsid w:val="00AD3558"/>
    <w:rsid w:val="00AD3A68"/>
    <w:rsid w:val="00AD3B87"/>
    <w:rsid w:val="00AD3D79"/>
    <w:rsid w:val="00AD3F17"/>
    <w:rsid w:val="00AD45CB"/>
    <w:rsid w:val="00AD48B8"/>
    <w:rsid w:val="00AD4A8E"/>
    <w:rsid w:val="00AD4C20"/>
    <w:rsid w:val="00AD4DED"/>
    <w:rsid w:val="00AD5014"/>
    <w:rsid w:val="00AD507E"/>
    <w:rsid w:val="00AD5403"/>
    <w:rsid w:val="00AD541D"/>
    <w:rsid w:val="00AD57BB"/>
    <w:rsid w:val="00AD5A19"/>
    <w:rsid w:val="00AD5B9F"/>
    <w:rsid w:val="00AD5D1E"/>
    <w:rsid w:val="00AD602C"/>
    <w:rsid w:val="00AD63F3"/>
    <w:rsid w:val="00AD6509"/>
    <w:rsid w:val="00AD66B2"/>
    <w:rsid w:val="00AD67A1"/>
    <w:rsid w:val="00AD67D9"/>
    <w:rsid w:val="00AD6841"/>
    <w:rsid w:val="00AD6921"/>
    <w:rsid w:val="00AD733E"/>
    <w:rsid w:val="00AD743E"/>
    <w:rsid w:val="00AD7A54"/>
    <w:rsid w:val="00AD7CC9"/>
    <w:rsid w:val="00AD7D94"/>
    <w:rsid w:val="00AD7ECB"/>
    <w:rsid w:val="00AE08DC"/>
    <w:rsid w:val="00AE0942"/>
    <w:rsid w:val="00AE09C1"/>
    <w:rsid w:val="00AE09CD"/>
    <w:rsid w:val="00AE0AC3"/>
    <w:rsid w:val="00AE0B15"/>
    <w:rsid w:val="00AE0D49"/>
    <w:rsid w:val="00AE125A"/>
    <w:rsid w:val="00AE1D67"/>
    <w:rsid w:val="00AE2676"/>
    <w:rsid w:val="00AE27B7"/>
    <w:rsid w:val="00AE27E6"/>
    <w:rsid w:val="00AE2D2A"/>
    <w:rsid w:val="00AE2D97"/>
    <w:rsid w:val="00AE2E4D"/>
    <w:rsid w:val="00AE3404"/>
    <w:rsid w:val="00AE3619"/>
    <w:rsid w:val="00AE3EFB"/>
    <w:rsid w:val="00AE402C"/>
    <w:rsid w:val="00AE460D"/>
    <w:rsid w:val="00AE4910"/>
    <w:rsid w:val="00AE4BD0"/>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FE8"/>
    <w:rsid w:val="00AE7FF5"/>
    <w:rsid w:val="00AF0007"/>
    <w:rsid w:val="00AF03B3"/>
    <w:rsid w:val="00AF0453"/>
    <w:rsid w:val="00AF0B71"/>
    <w:rsid w:val="00AF0C6F"/>
    <w:rsid w:val="00AF0D01"/>
    <w:rsid w:val="00AF0F0D"/>
    <w:rsid w:val="00AF198A"/>
    <w:rsid w:val="00AF1EB4"/>
    <w:rsid w:val="00AF230A"/>
    <w:rsid w:val="00AF2507"/>
    <w:rsid w:val="00AF2956"/>
    <w:rsid w:val="00AF2C02"/>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500"/>
    <w:rsid w:val="00AF7820"/>
    <w:rsid w:val="00AF795A"/>
    <w:rsid w:val="00AF7AE3"/>
    <w:rsid w:val="00AF7C66"/>
    <w:rsid w:val="00B001BC"/>
    <w:rsid w:val="00B005F5"/>
    <w:rsid w:val="00B00604"/>
    <w:rsid w:val="00B00FDF"/>
    <w:rsid w:val="00B014C3"/>
    <w:rsid w:val="00B0187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4486"/>
    <w:rsid w:val="00B044F9"/>
    <w:rsid w:val="00B04569"/>
    <w:rsid w:val="00B04926"/>
    <w:rsid w:val="00B04E89"/>
    <w:rsid w:val="00B04EF1"/>
    <w:rsid w:val="00B04EF9"/>
    <w:rsid w:val="00B05004"/>
    <w:rsid w:val="00B0585A"/>
    <w:rsid w:val="00B05A6C"/>
    <w:rsid w:val="00B05A6F"/>
    <w:rsid w:val="00B06202"/>
    <w:rsid w:val="00B062FB"/>
    <w:rsid w:val="00B06434"/>
    <w:rsid w:val="00B0684C"/>
    <w:rsid w:val="00B068D3"/>
    <w:rsid w:val="00B06D75"/>
    <w:rsid w:val="00B06F76"/>
    <w:rsid w:val="00B07079"/>
    <w:rsid w:val="00B07083"/>
    <w:rsid w:val="00B07246"/>
    <w:rsid w:val="00B077F4"/>
    <w:rsid w:val="00B07900"/>
    <w:rsid w:val="00B07B2D"/>
    <w:rsid w:val="00B07B32"/>
    <w:rsid w:val="00B10096"/>
    <w:rsid w:val="00B10168"/>
    <w:rsid w:val="00B103AE"/>
    <w:rsid w:val="00B103D5"/>
    <w:rsid w:val="00B10474"/>
    <w:rsid w:val="00B1057F"/>
    <w:rsid w:val="00B107F2"/>
    <w:rsid w:val="00B1091D"/>
    <w:rsid w:val="00B10987"/>
    <w:rsid w:val="00B10AD6"/>
    <w:rsid w:val="00B113C3"/>
    <w:rsid w:val="00B11B16"/>
    <w:rsid w:val="00B11C18"/>
    <w:rsid w:val="00B11C61"/>
    <w:rsid w:val="00B12050"/>
    <w:rsid w:val="00B1219D"/>
    <w:rsid w:val="00B121FE"/>
    <w:rsid w:val="00B12346"/>
    <w:rsid w:val="00B1299C"/>
    <w:rsid w:val="00B12C8C"/>
    <w:rsid w:val="00B1309E"/>
    <w:rsid w:val="00B134A4"/>
    <w:rsid w:val="00B13541"/>
    <w:rsid w:val="00B13A9C"/>
    <w:rsid w:val="00B13B6D"/>
    <w:rsid w:val="00B13BE1"/>
    <w:rsid w:val="00B13DE0"/>
    <w:rsid w:val="00B13F0A"/>
    <w:rsid w:val="00B14029"/>
    <w:rsid w:val="00B142E7"/>
    <w:rsid w:val="00B14370"/>
    <w:rsid w:val="00B144A9"/>
    <w:rsid w:val="00B147D9"/>
    <w:rsid w:val="00B14A12"/>
    <w:rsid w:val="00B14A37"/>
    <w:rsid w:val="00B14AD2"/>
    <w:rsid w:val="00B14C40"/>
    <w:rsid w:val="00B14C6F"/>
    <w:rsid w:val="00B14D0E"/>
    <w:rsid w:val="00B1536B"/>
    <w:rsid w:val="00B1577A"/>
    <w:rsid w:val="00B15A7C"/>
    <w:rsid w:val="00B15D08"/>
    <w:rsid w:val="00B15EAC"/>
    <w:rsid w:val="00B1630D"/>
    <w:rsid w:val="00B16379"/>
    <w:rsid w:val="00B16381"/>
    <w:rsid w:val="00B167FA"/>
    <w:rsid w:val="00B16A33"/>
    <w:rsid w:val="00B16F17"/>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5C"/>
    <w:rsid w:val="00B22DFB"/>
    <w:rsid w:val="00B2305E"/>
    <w:rsid w:val="00B231A1"/>
    <w:rsid w:val="00B23464"/>
    <w:rsid w:val="00B2347E"/>
    <w:rsid w:val="00B2374D"/>
    <w:rsid w:val="00B237A0"/>
    <w:rsid w:val="00B237BF"/>
    <w:rsid w:val="00B238AB"/>
    <w:rsid w:val="00B23D25"/>
    <w:rsid w:val="00B23E09"/>
    <w:rsid w:val="00B2435A"/>
    <w:rsid w:val="00B24505"/>
    <w:rsid w:val="00B24EA4"/>
    <w:rsid w:val="00B25D5D"/>
    <w:rsid w:val="00B262C9"/>
    <w:rsid w:val="00B26539"/>
    <w:rsid w:val="00B26788"/>
    <w:rsid w:val="00B26C82"/>
    <w:rsid w:val="00B26DCD"/>
    <w:rsid w:val="00B27184"/>
    <w:rsid w:val="00B27292"/>
    <w:rsid w:val="00B27371"/>
    <w:rsid w:val="00B27C24"/>
    <w:rsid w:val="00B27C40"/>
    <w:rsid w:val="00B27D90"/>
    <w:rsid w:val="00B27DF8"/>
    <w:rsid w:val="00B27E17"/>
    <w:rsid w:val="00B30328"/>
    <w:rsid w:val="00B3038F"/>
    <w:rsid w:val="00B303F8"/>
    <w:rsid w:val="00B30411"/>
    <w:rsid w:val="00B30542"/>
    <w:rsid w:val="00B306C2"/>
    <w:rsid w:val="00B309E3"/>
    <w:rsid w:val="00B30BCF"/>
    <w:rsid w:val="00B30C64"/>
    <w:rsid w:val="00B30C84"/>
    <w:rsid w:val="00B30ED9"/>
    <w:rsid w:val="00B31048"/>
    <w:rsid w:val="00B31119"/>
    <w:rsid w:val="00B31810"/>
    <w:rsid w:val="00B31E6E"/>
    <w:rsid w:val="00B32048"/>
    <w:rsid w:val="00B328C5"/>
    <w:rsid w:val="00B32911"/>
    <w:rsid w:val="00B3307F"/>
    <w:rsid w:val="00B330BC"/>
    <w:rsid w:val="00B33160"/>
    <w:rsid w:val="00B332E6"/>
    <w:rsid w:val="00B3349E"/>
    <w:rsid w:val="00B33A78"/>
    <w:rsid w:val="00B33E32"/>
    <w:rsid w:val="00B3429C"/>
    <w:rsid w:val="00B342E7"/>
    <w:rsid w:val="00B34E5D"/>
    <w:rsid w:val="00B34F73"/>
    <w:rsid w:val="00B34F96"/>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104"/>
    <w:rsid w:val="00B415DB"/>
    <w:rsid w:val="00B41624"/>
    <w:rsid w:val="00B417A6"/>
    <w:rsid w:val="00B41D81"/>
    <w:rsid w:val="00B41E6B"/>
    <w:rsid w:val="00B41F39"/>
    <w:rsid w:val="00B4258C"/>
    <w:rsid w:val="00B425BD"/>
    <w:rsid w:val="00B42779"/>
    <w:rsid w:val="00B42C4D"/>
    <w:rsid w:val="00B42ED2"/>
    <w:rsid w:val="00B42FA5"/>
    <w:rsid w:val="00B4302E"/>
    <w:rsid w:val="00B4309B"/>
    <w:rsid w:val="00B4325D"/>
    <w:rsid w:val="00B43521"/>
    <w:rsid w:val="00B43B89"/>
    <w:rsid w:val="00B43C38"/>
    <w:rsid w:val="00B43CB9"/>
    <w:rsid w:val="00B43DCC"/>
    <w:rsid w:val="00B43EC5"/>
    <w:rsid w:val="00B4406E"/>
    <w:rsid w:val="00B440CF"/>
    <w:rsid w:val="00B446A5"/>
    <w:rsid w:val="00B44DF0"/>
    <w:rsid w:val="00B44E08"/>
    <w:rsid w:val="00B45115"/>
    <w:rsid w:val="00B4538E"/>
    <w:rsid w:val="00B45878"/>
    <w:rsid w:val="00B45A94"/>
    <w:rsid w:val="00B4600F"/>
    <w:rsid w:val="00B46028"/>
    <w:rsid w:val="00B46084"/>
    <w:rsid w:val="00B461DD"/>
    <w:rsid w:val="00B465E5"/>
    <w:rsid w:val="00B466A4"/>
    <w:rsid w:val="00B46D9B"/>
    <w:rsid w:val="00B46FA2"/>
    <w:rsid w:val="00B47128"/>
    <w:rsid w:val="00B472FA"/>
    <w:rsid w:val="00B47831"/>
    <w:rsid w:val="00B47B46"/>
    <w:rsid w:val="00B47B73"/>
    <w:rsid w:val="00B47BFA"/>
    <w:rsid w:val="00B505BF"/>
    <w:rsid w:val="00B50787"/>
    <w:rsid w:val="00B50791"/>
    <w:rsid w:val="00B507EB"/>
    <w:rsid w:val="00B50ABA"/>
    <w:rsid w:val="00B50B2B"/>
    <w:rsid w:val="00B50E6B"/>
    <w:rsid w:val="00B50F07"/>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B1"/>
    <w:rsid w:val="00B534DC"/>
    <w:rsid w:val="00B535CD"/>
    <w:rsid w:val="00B537EF"/>
    <w:rsid w:val="00B53840"/>
    <w:rsid w:val="00B53D88"/>
    <w:rsid w:val="00B54153"/>
    <w:rsid w:val="00B54170"/>
    <w:rsid w:val="00B54587"/>
    <w:rsid w:val="00B54903"/>
    <w:rsid w:val="00B549C3"/>
    <w:rsid w:val="00B54A8F"/>
    <w:rsid w:val="00B54CAF"/>
    <w:rsid w:val="00B54E3A"/>
    <w:rsid w:val="00B55023"/>
    <w:rsid w:val="00B55271"/>
    <w:rsid w:val="00B5535B"/>
    <w:rsid w:val="00B5550F"/>
    <w:rsid w:val="00B5559B"/>
    <w:rsid w:val="00B55873"/>
    <w:rsid w:val="00B558A0"/>
    <w:rsid w:val="00B558C4"/>
    <w:rsid w:val="00B55C31"/>
    <w:rsid w:val="00B55D29"/>
    <w:rsid w:val="00B55ECF"/>
    <w:rsid w:val="00B560B2"/>
    <w:rsid w:val="00B560FE"/>
    <w:rsid w:val="00B56F22"/>
    <w:rsid w:val="00B570C0"/>
    <w:rsid w:val="00B570C8"/>
    <w:rsid w:val="00B57341"/>
    <w:rsid w:val="00B57423"/>
    <w:rsid w:val="00B5751F"/>
    <w:rsid w:val="00B57801"/>
    <w:rsid w:val="00B60132"/>
    <w:rsid w:val="00B60369"/>
    <w:rsid w:val="00B6049A"/>
    <w:rsid w:val="00B60570"/>
    <w:rsid w:val="00B60776"/>
    <w:rsid w:val="00B608FB"/>
    <w:rsid w:val="00B60995"/>
    <w:rsid w:val="00B60B3D"/>
    <w:rsid w:val="00B60B95"/>
    <w:rsid w:val="00B60BAF"/>
    <w:rsid w:val="00B6121D"/>
    <w:rsid w:val="00B61355"/>
    <w:rsid w:val="00B61546"/>
    <w:rsid w:val="00B6156E"/>
    <w:rsid w:val="00B616EC"/>
    <w:rsid w:val="00B61A61"/>
    <w:rsid w:val="00B61DD5"/>
    <w:rsid w:val="00B6200A"/>
    <w:rsid w:val="00B621DD"/>
    <w:rsid w:val="00B6258C"/>
    <w:rsid w:val="00B62A41"/>
    <w:rsid w:val="00B62CB7"/>
    <w:rsid w:val="00B630B8"/>
    <w:rsid w:val="00B631F1"/>
    <w:rsid w:val="00B6371C"/>
    <w:rsid w:val="00B63834"/>
    <w:rsid w:val="00B63B18"/>
    <w:rsid w:val="00B63C66"/>
    <w:rsid w:val="00B63F70"/>
    <w:rsid w:val="00B640FE"/>
    <w:rsid w:val="00B641B9"/>
    <w:rsid w:val="00B642A8"/>
    <w:rsid w:val="00B642DF"/>
    <w:rsid w:val="00B644AF"/>
    <w:rsid w:val="00B64A65"/>
    <w:rsid w:val="00B64C03"/>
    <w:rsid w:val="00B64E61"/>
    <w:rsid w:val="00B65200"/>
    <w:rsid w:val="00B6535D"/>
    <w:rsid w:val="00B653D9"/>
    <w:rsid w:val="00B658AF"/>
    <w:rsid w:val="00B659CE"/>
    <w:rsid w:val="00B65A03"/>
    <w:rsid w:val="00B65CF0"/>
    <w:rsid w:val="00B663BA"/>
    <w:rsid w:val="00B663EC"/>
    <w:rsid w:val="00B665AA"/>
    <w:rsid w:val="00B665E8"/>
    <w:rsid w:val="00B6661A"/>
    <w:rsid w:val="00B6679F"/>
    <w:rsid w:val="00B66BBE"/>
    <w:rsid w:val="00B66C77"/>
    <w:rsid w:val="00B66D00"/>
    <w:rsid w:val="00B66D81"/>
    <w:rsid w:val="00B66DD8"/>
    <w:rsid w:val="00B67AE8"/>
    <w:rsid w:val="00B67BAA"/>
    <w:rsid w:val="00B67DD1"/>
    <w:rsid w:val="00B67F18"/>
    <w:rsid w:val="00B701D3"/>
    <w:rsid w:val="00B706FB"/>
    <w:rsid w:val="00B715D0"/>
    <w:rsid w:val="00B716F7"/>
    <w:rsid w:val="00B71CD2"/>
    <w:rsid w:val="00B720AD"/>
    <w:rsid w:val="00B7253B"/>
    <w:rsid w:val="00B72764"/>
    <w:rsid w:val="00B72A9B"/>
    <w:rsid w:val="00B72C09"/>
    <w:rsid w:val="00B72F59"/>
    <w:rsid w:val="00B73017"/>
    <w:rsid w:val="00B73786"/>
    <w:rsid w:val="00B7382F"/>
    <w:rsid w:val="00B73ECD"/>
    <w:rsid w:val="00B74038"/>
    <w:rsid w:val="00B7423F"/>
    <w:rsid w:val="00B742CD"/>
    <w:rsid w:val="00B745FC"/>
    <w:rsid w:val="00B74E7E"/>
    <w:rsid w:val="00B7518D"/>
    <w:rsid w:val="00B75431"/>
    <w:rsid w:val="00B7577A"/>
    <w:rsid w:val="00B75893"/>
    <w:rsid w:val="00B75AD1"/>
    <w:rsid w:val="00B75E1B"/>
    <w:rsid w:val="00B765BA"/>
    <w:rsid w:val="00B767A4"/>
    <w:rsid w:val="00B769B9"/>
    <w:rsid w:val="00B76AB6"/>
    <w:rsid w:val="00B76ABA"/>
    <w:rsid w:val="00B76F05"/>
    <w:rsid w:val="00B7723E"/>
    <w:rsid w:val="00B777FF"/>
    <w:rsid w:val="00B7786C"/>
    <w:rsid w:val="00B77898"/>
    <w:rsid w:val="00B77D87"/>
    <w:rsid w:val="00B77E48"/>
    <w:rsid w:val="00B80093"/>
    <w:rsid w:val="00B80455"/>
    <w:rsid w:val="00B80D3D"/>
    <w:rsid w:val="00B80F5F"/>
    <w:rsid w:val="00B81394"/>
    <w:rsid w:val="00B813B0"/>
    <w:rsid w:val="00B81A3E"/>
    <w:rsid w:val="00B81B90"/>
    <w:rsid w:val="00B81BC1"/>
    <w:rsid w:val="00B81EC7"/>
    <w:rsid w:val="00B81F63"/>
    <w:rsid w:val="00B82550"/>
    <w:rsid w:val="00B82A30"/>
    <w:rsid w:val="00B82C83"/>
    <w:rsid w:val="00B82D5E"/>
    <w:rsid w:val="00B82F96"/>
    <w:rsid w:val="00B836ED"/>
    <w:rsid w:val="00B837A8"/>
    <w:rsid w:val="00B837BB"/>
    <w:rsid w:val="00B8396B"/>
    <w:rsid w:val="00B83DE9"/>
    <w:rsid w:val="00B8410E"/>
    <w:rsid w:val="00B84281"/>
    <w:rsid w:val="00B84401"/>
    <w:rsid w:val="00B845FB"/>
    <w:rsid w:val="00B84D82"/>
    <w:rsid w:val="00B84FAD"/>
    <w:rsid w:val="00B852DA"/>
    <w:rsid w:val="00B86798"/>
    <w:rsid w:val="00B867C3"/>
    <w:rsid w:val="00B869BA"/>
    <w:rsid w:val="00B869C4"/>
    <w:rsid w:val="00B8729B"/>
    <w:rsid w:val="00B87359"/>
    <w:rsid w:val="00B874C1"/>
    <w:rsid w:val="00B87E4A"/>
    <w:rsid w:val="00B90FF5"/>
    <w:rsid w:val="00B91224"/>
    <w:rsid w:val="00B9128A"/>
    <w:rsid w:val="00B915E2"/>
    <w:rsid w:val="00B91AAF"/>
    <w:rsid w:val="00B91C5C"/>
    <w:rsid w:val="00B921F8"/>
    <w:rsid w:val="00B924E7"/>
    <w:rsid w:val="00B928FF"/>
    <w:rsid w:val="00B92BE4"/>
    <w:rsid w:val="00B92D4E"/>
    <w:rsid w:val="00B92D5A"/>
    <w:rsid w:val="00B93836"/>
    <w:rsid w:val="00B939FC"/>
    <w:rsid w:val="00B93FF7"/>
    <w:rsid w:val="00B947CA"/>
    <w:rsid w:val="00B94E10"/>
    <w:rsid w:val="00B95176"/>
    <w:rsid w:val="00B95216"/>
    <w:rsid w:val="00B95696"/>
    <w:rsid w:val="00B958B7"/>
    <w:rsid w:val="00B9590A"/>
    <w:rsid w:val="00B95FB3"/>
    <w:rsid w:val="00B9636E"/>
    <w:rsid w:val="00B96605"/>
    <w:rsid w:val="00B969E6"/>
    <w:rsid w:val="00B97384"/>
    <w:rsid w:val="00B975EC"/>
    <w:rsid w:val="00B97CDA"/>
    <w:rsid w:val="00BA028A"/>
    <w:rsid w:val="00BA0384"/>
    <w:rsid w:val="00BA06F7"/>
    <w:rsid w:val="00BA08C8"/>
    <w:rsid w:val="00BA0B3C"/>
    <w:rsid w:val="00BA0CE4"/>
    <w:rsid w:val="00BA0CEC"/>
    <w:rsid w:val="00BA1831"/>
    <w:rsid w:val="00BA1E74"/>
    <w:rsid w:val="00BA1E8C"/>
    <w:rsid w:val="00BA2098"/>
    <w:rsid w:val="00BA2B2A"/>
    <w:rsid w:val="00BA2EE3"/>
    <w:rsid w:val="00BA2FF4"/>
    <w:rsid w:val="00BA3B5B"/>
    <w:rsid w:val="00BA3E61"/>
    <w:rsid w:val="00BA3F10"/>
    <w:rsid w:val="00BA3F26"/>
    <w:rsid w:val="00BA400E"/>
    <w:rsid w:val="00BA4140"/>
    <w:rsid w:val="00BA41E2"/>
    <w:rsid w:val="00BA4306"/>
    <w:rsid w:val="00BA447A"/>
    <w:rsid w:val="00BA47A5"/>
    <w:rsid w:val="00BA4AB9"/>
    <w:rsid w:val="00BA4D45"/>
    <w:rsid w:val="00BA52F1"/>
    <w:rsid w:val="00BA5675"/>
    <w:rsid w:val="00BA5972"/>
    <w:rsid w:val="00BA5BF4"/>
    <w:rsid w:val="00BA5E6C"/>
    <w:rsid w:val="00BA605F"/>
    <w:rsid w:val="00BA70D5"/>
    <w:rsid w:val="00BA7539"/>
    <w:rsid w:val="00BA7803"/>
    <w:rsid w:val="00BA7B79"/>
    <w:rsid w:val="00BA7C8F"/>
    <w:rsid w:val="00BB00F7"/>
    <w:rsid w:val="00BB0213"/>
    <w:rsid w:val="00BB0236"/>
    <w:rsid w:val="00BB03A1"/>
    <w:rsid w:val="00BB04FA"/>
    <w:rsid w:val="00BB10DA"/>
    <w:rsid w:val="00BB13D7"/>
    <w:rsid w:val="00BB13D9"/>
    <w:rsid w:val="00BB19A7"/>
    <w:rsid w:val="00BB1AA1"/>
    <w:rsid w:val="00BB1BF3"/>
    <w:rsid w:val="00BB2087"/>
    <w:rsid w:val="00BB23B0"/>
    <w:rsid w:val="00BB2688"/>
    <w:rsid w:val="00BB2802"/>
    <w:rsid w:val="00BB29AA"/>
    <w:rsid w:val="00BB2A5D"/>
    <w:rsid w:val="00BB2F3F"/>
    <w:rsid w:val="00BB313D"/>
    <w:rsid w:val="00BB3410"/>
    <w:rsid w:val="00BB3653"/>
    <w:rsid w:val="00BB39AA"/>
    <w:rsid w:val="00BB3B5A"/>
    <w:rsid w:val="00BB405B"/>
    <w:rsid w:val="00BB41DB"/>
    <w:rsid w:val="00BB43D2"/>
    <w:rsid w:val="00BB4490"/>
    <w:rsid w:val="00BB482D"/>
    <w:rsid w:val="00BB4AD2"/>
    <w:rsid w:val="00BB4CE5"/>
    <w:rsid w:val="00BB4D8C"/>
    <w:rsid w:val="00BB4E06"/>
    <w:rsid w:val="00BB4E40"/>
    <w:rsid w:val="00BB4F0C"/>
    <w:rsid w:val="00BB544C"/>
    <w:rsid w:val="00BB54FB"/>
    <w:rsid w:val="00BB5840"/>
    <w:rsid w:val="00BB5E2F"/>
    <w:rsid w:val="00BB6399"/>
    <w:rsid w:val="00BB6592"/>
    <w:rsid w:val="00BB6608"/>
    <w:rsid w:val="00BB6862"/>
    <w:rsid w:val="00BB6F12"/>
    <w:rsid w:val="00BB6FEB"/>
    <w:rsid w:val="00BB73E6"/>
    <w:rsid w:val="00BB74DE"/>
    <w:rsid w:val="00BB75F7"/>
    <w:rsid w:val="00BB7AE7"/>
    <w:rsid w:val="00BB7B9A"/>
    <w:rsid w:val="00BC0138"/>
    <w:rsid w:val="00BC01F2"/>
    <w:rsid w:val="00BC0572"/>
    <w:rsid w:val="00BC083B"/>
    <w:rsid w:val="00BC096E"/>
    <w:rsid w:val="00BC0A36"/>
    <w:rsid w:val="00BC0F9A"/>
    <w:rsid w:val="00BC1723"/>
    <w:rsid w:val="00BC1A34"/>
    <w:rsid w:val="00BC1B84"/>
    <w:rsid w:val="00BC2246"/>
    <w:rsid w:val="00BC27FF"/>
    <w:rsid w:val="00BC298D"/>
    <w:rsid w:val="00BC2C1C"/>
    <w:rsid w:val="00BC30B6"/>
    <w:rsid w:val="00BC3156"/>
    <w:rsid w:val="00BC3227"/>
    <w:rsid w:val="00BC330B"/>
    <w:rsid w:val="00BC3833"/>
    <w:rsid w:val="00BC3860"/>
    <w:rsid w:val="00BC3DFB"/>
    <w:rsid w:val="00BC411F"/>
    <w:rsid w:val="00BC4306"/>
    <w:rsid w:val="00BC4387"/>
    <w:rsid w:val="00BC4819"/>
    <w:rsid w:val="00BC499B"/>
    <w:rsid w:val="00BC5029"/>
    <w:rsid w:val="00BC50E6"/>
    <w:rsid w:val="00BC52DA"/>
    <w:rsid w:val="00BC553A"/>
    <w:rsid w:val="00BC5579"/>
    <w:rsid w:val="00BC5DE2"/>
    <w:rsid w:val="00BC624E"/>
    <w:rsid w:val="00BC642A"/>
    <w:rsid w:val="00BC7258"/>
    <w:rsid w:val="00BC7407"/>
    <w:rsid w:val="00BC7633"/>
    <w:rsid w:val="00BC79FD"/>
    <w:rsid w:val="00BC7B69"/>
    <w:rsid w:val="00BC7B6A"/>
    <w:rsid w:val="00BC7BD4"/>
    <w:rsid w:val="00BC7E3C"/>
    <w:rsid w:val="00BD0619"/>
    <w:rsid w:val="00BD0A4C"/>
    <w:rsid w:val="00BD0C0D"/>
    <w:rsid w:val="00BD0D6E"/>
    <w:rsid w:val="00BD0EC2"/>
    <w:rsid w:val="00BD121D"/>
    <w:rsid w:val="00BD145A"/>
    <w:rsid w:val="00BD17DC"/>
    <w:rsid w:val="00BD1910"/>
    <w:rsid w:val="00BD1ACE"/>
    <w:rsid w:val="00BD1B4B"/>
    <w:rsid w:val="00BD1D63"/>
    <w:rsid w:val="00BD1EEF"/>
    <w:rsid w:val="00BD1F08"/>
    <w:rsid w:val="00BD2205"/>
    <w:rsid w:val="00BD2363"/>
    <w:rsid w:val="00BD23C6"/>
    <w:rsid w:val="00BD23F7"/>
    <w:rsid w:val="00BD25B1"/>
    <w:rsid w:val="00BD2E3A"/>
    <w:rsid w:val="00BD2FDA"/>
    <w:rsid w:val="00BD3A7C"/>
    <w:rsid w:val="00BD3B20"/>
    <w:rsid w:val="00BD3B24"/>
    <w:rsid w:val="00BD3CB3"/>
    <w:rsid w:val="00BD3DE0"/>
    <w:rsid w:val="00BD3F8A"/>
    <w:rsid w:val="00BD4487"/>
    <w:rsid w:val="00BD486F"/>
    <w:rsid w:val="00BD4A4C"/>
    <w:rsid w:val="00BD5130"/>
    <w:rsid w:val="00BD5844"/>
    <w:rsid w:val="00BD589E"/>
    <w:rsid w:val="00BD5925"/>
    <w:rsid w:val="00BD5E26"/>
    <w:rsid w:val="00BD62E1"/>
    <w:rsid w:val="00BD6893"/>
    <w:rsid w:val="00BD6AEE"/>
    <w:rsid w:val="00BD6B6B"/>
    <w:rsid w:val="00BD7113"/>
    <w:rsid w:val="00BD722D"/>
    <w:rsid w:val="00BD733E"/>
    <w:rsid w:val="00BD748E"/>
    <w:rsid w:val="00BD7551"/>
    <w:rsid w:val="00BD7762"/>
    <w:rsid w:val="00BD79BA"/>
    <w:rsid w:val="00BD7F81"/>
    <w:rsid w:val="00BE056E"/>
    <w:rsid w:val="00BE0917"/>
    <w:rsid w:val="00BE0E0D"/>
    <w:rsid w:val="00BE1302"/>
    <w:rsid w:val="00BE1304"/>
    <w:rsid w:val="00BE1925"/>
    <w:rsid w:val="00BE1A18"/>
    <w:rsid w:val="00BE1A48"/>
    <w:rsid w:val="00BE2199"/>
    <w:rsid w:val="00BE2441"/>
    <w:rsid w:val="00BE25CA"/>
    <w:rsid w:val="00BE2B10"/>
    <w:rsid w:val="00BE31F7"/>
    <w:rsid w:val="00BE3536"/>
    <w:rsid w:val="00BE364D"/>
    <w:rsid w:val="00BE36B1"/>
    <w:rsid w:val="00BE37C8"/>
    <w:rsid w:val="00BE3B3D"/>
    <w:rsid w:val="00BE3C7B"/>
    <w:rsid w:val="00BE3C7D"/>
    <w:rsid w:val="00BE3E77"/>
    <w:rsid w:val="00BE40B7"/>
    <w:rsid w:val="00BE4AFF"/>
    <w:rsid w:val="00BE4F7E"/>
    <w:rsid w:val="00BE50FD"/>
    <w:rsid w:val="00BE5139"/>
    <w:rsid w:val="00BE51AD"/>
    <w:rsid w:val="00BE55E6"/>
    <w:rsid w:val="00BE572B"/>
    <w:rsid w:val="00BE592B"/>
    <w:rsid w:val="00BE5F0B"/>
    <w:rsid w:val="00BE604E"/>
    <w:rsid w:val="00BE63F9"/>
    <w:rsid w:val="00BE67B3"/>
    <w:rsid w:val="00BE68A0"/>
    <w:rsid w:val="00BE69BF"/>
    <w:rsid w:val="00BE757D"/>
    <w:rsid w:val="00BE79B8"/>
    <w:rsid w:val="00BE7B1E"/>
    <w:rsid w:val="00BE7FA2"/>
    <w:rsid w:val="00BF0256"/>
    <w:rsid w:val="00BF0333"/>
    <w:rsid w:val="00BF0459"/>
    <w:rsid w:val="00BF071B"/>
    <w:rsid w:val="00BF099D"/>
    <w:rsid w:val="00BF0ACF"/>
    <w:rsid w:val="00BF11D9"/>
    <w:rsid w:val="00BF183D"/>
    <w:rsid w:val="00BF1C98"/>
    <w:rsid w:val="00BF1CB3"/>
    <w:rsid w:val="00BF2075"/>
    <w:rsid w:val="00BF2083"/>
    <w:rsid w:val="00BF247A"/>
    <w:rsid w:val="00BF2D31"/>
    <w:rsid w:val="00BF2E56"/>
    <w:rsid w:val="00BF2FA1"/>
    <w:rsid w:val="00BF3000"/>
    <w:rsid w:val="00BF32F5"/>
    <w:rsid w:val="00BF359B"/>
    <w:rsid w:val="00BF36B1"/>
    <w:rsid w:val="00BF373B"/>
    <w:rsid w:val="00BF3922"/>
    <w:rsid w:val="00BF3968"/>
    <w:rsid w:val="00BF39EB"/>
    <w:rsid w:val="00BF40B4"/>
    <w:rsid w:val="00BF41B2"/>
    <w:rsid w:val="00BF433C"/>
    <w:rsid w:val="00BF465D"/>
    <w:rsid w:val="00BF4789"/>
    <w:rsid w:val="00BF4B8B"/>
    <w:rsid w:val="00BF4E79"/>
    <w:rsid w:val="00BF505C"/>
    <w:rsid w:val="00BF5898"/>
    <w:rsid w:val="00BF58CC"/>
    <w:rsid w:val="00BF5C47"/>
    <w:rsid w:val="00BF5CCB"/>
    <w:rsid w:val="00BF5E22"/>
    <w:rsid w:val="00BF6037"/>
    <w:rsid w:val="00BF604E"/>
    <w:rsid w:val="00BF6104"/>
    <w:rsid w:val="00BF6663"/>
    <w:rsid w:val="00BF68F9"/>
    <w:rsid w:val="00BF6A01"/>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15F"/>
    <w:rsid w:val="00C012C9"/>
    <w:rsid w:val="00C013E7"/>
    <w:rsid w:val="00C0150C"/>
    <w:rsid w:val="00C01751"/>
    <w:rsid w:val="00C01904"/>
    <w:rsid w:val="00C01C88"/>
    <w:rsid w:val="00C01D4F"/>
    <w:rsid w:val="00C022A7"/>
    <w:rsid w:val="00C023DE"/>
    <w:rsid w:val="00C024CE"/>
    <w:rsid w:val="00C025C9"/>
    <w:rsid w:val="00C029F0"/>
    <w:rsid w:val="00C033B4"/>
    <w:rsid w:val="00C0344C"/>
    <w:rsid w:val="00C0376F"/>
    <w:rsid w:val="00C03885"/>
    <w:rsid w:val="00C03D2B"/>
    <w:rsid w:val="00C0449F"/>
    <w:rsid w:val="00C044C3"/>
    <w:rsid w:val="00C04623"/>
    <w:rsid w:val="00C047F0"/>
    <w:rsid w:val="00C04928"/>
    <w:rsid w:val="00C04A3C"/>
    <w:rsid w:val="00C04C0A"/>
    <w:rsid w:val="00C04DCC"/>
    <w:rsid w:val="00C05333"/>
    <w:rsid w:val="00C05464"/>
    <w:rsid w:val="00C05B52"/>
    <w:rsid w:val="00C05D41"/>
    <w:rsid w:val="00C05EDC"/>
    <w:rsid w:val="00C05F16"/>
    <w:rsid w:val="00C05FE2"/>
    <w:rsid w:val="00C05FE9"/>
    <w:rsid w:val="00C06283"/>
    <w:rsid w:val="00C0669B"/>
    <w:rsid w:val="00C06E16"/>
    <w:rsid w:val="00C07348"/>
    <w:rsid w:val="00C074FA"/>
    <w:rsid w:val="00C07624"/>
    <w:rsid w:val="00C07760"/>
    <w:rsid w:val="00C07C7F"/>
    <w:rsid w:val="00C07FF6"/>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B47"/>
    <w:rsid w:val="00C12D34"/>
    <w:rsid w:val="00C12F28"/>
    <w:rsid w:val="00C132B1"/>
    <w:rsid w:val="00C1393A"/>
    <w:rsid w:val="00C13F5E"/>
    <w:rsid w:val="00C13FE2"/>
    <w:rsid w:val="00C14514"/>
    <w:rsid w:val="00C14525"/>
    <w:rsid w:val="00C14D9D"/>
    <w:rsid w:val="00C14E5A"/>
    <w:rsid w:val="00C1515F"/>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4EF"/>
    <w:rsid w:val="00C20816"/>
    <w:rsid w:val="00C2152B"/>
    <w:rsid w:val="00C21634"/>
    <w:rsid w:val="00C219D1"/>
    <w:rsid w:val="00C21ED2"/>
    <w:rsid w:val="00C228B0"/>
    <w:rsid w:val="00C22A37"/>
    <w:rsid w:val="00C23118"/>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367"/>
    <w:rsid w:val="00C33450"/>
    <w:rsid w:val="00C33639"/>
    <w:rsid w:val="00C33986"/>
    <w:rsid w:val="00C33AD1"/>
    <w:rsid w:val="00C33C8B"/>
    <w:rsid w:val="00C33E01"/>
    <w:rsid w:val="00C3406D"/>
    <w:rsid w:val="00C341FC"/>
    <w:rsid w:val="00C34290"/>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684"/>
    <w:rsid w:val="00C3671D"/>
    <w:rsid w:val="00C36A72"/>
    <w:rsid w:val="00C36D12"/>
    <w:rsid w:val="00C36ECA"/>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1A7"/>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891"/>
    <w:rsid w:val="00C44BBD"/>
    <w:rsid w:val="00C45290"/>
    <w:rsid w:val="00C452BC"/>
    <w:rsid w:val="00C45321"/>
    <w:rsid w:val="00C454A1"/>
    <w:rsid w:val="00C456F6"/>
    <w:rsid w:val="00C457B9"/>
    <w:rsid w:val="00C45E78"/>
    <w:rsid w:val="00C46976"/>
    <w:rsid w:val="00C4705B"/>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0511"/>
    <w:rsid w:val="00C5075F"/>
    <w:rsid w:val="00C51262"/>
    <w:rsid w:val="00C512EA"/>
    <w:rsid w:val="00C5137F"/>
    <w:rsid w:val="00C515F6"/>
    <w:rsid w:val="00C518E2"/>
    <w:rsid w:val="00C5192E"/>
    <w:rsid w:val="00C51F01"/>
    <w:rsid w:val="00C5217C"/>
    <w:rsid w:val="00C522C0"/>
    <w:rsid w:val="00C52400"/>
    <w:rsid w:val="00C5246D"/>
    <w:rsid w:val="00C52471"/>
    <w:rsid w:val="00C52501"/>
    <w:rsid w:val="00C527D5"/>
    <w:rsid w:val="00C5293C"/>
    <w:rsid w:val="00C532A1"/>
    <w:rsid w:val="00C53590"/>
    <w:rsid w:val="00C53689"/>
    <w:rsid w:val="00C5377E"/>
    <w:rsid w:val="00C5398B"/>
    <w:rsid w:val="00C539F3"/>
    <w:rsid w:val="00C53ADD"/>
    <w:rsid w:val="00C53CF9"/>
    <w:rsid w:val="00C53EBF"/>
    <w:rsid w:val="00C53F49"/>
    <w:rsid w:val="00C53F99"/>
    <w:rsid w:val="00C540A8"/>
    <w:rsid w:val="00C54482"/>
    <w:rsid w:val="00C54C59"/>
    <w:rsid w:val="00C54CFF"/>
    <w:rsid w:val="00C54F45"/>
    <w:rsid w:val="00C55590"/>
    <w:rsid w:val="00C55752"/>
    <w:rsid w:val="00C55843"/>
    <w:rsid w:val="00C55895"/>
    <w:rsid w:val="00C55BA7"/>
    <w:rsid w:val="00C55F35"/>
    <w:rsid w:val="00C55F85"/>
    <w:rsid w:val="00C55FFF"/>
    <w:rsid w:val="00C561E7"/>
    <w:rsid w:val="00C56217"/>
    <w:rsid w:val="00C567F9"/>
    <w:rsid w:val="00C567FE"/>
    <w:rsid w:val="00C568EB"/>
    <w:rsid w:val="00C568F7"/>
    <w:rsid w:val="00C56C31"/>
    <w:rsid w:val="00C56D85"/>
    <w:rsid w:val="00C56EDD"/>
    <w:rsid w:val="00C571B6"/>
    <w:rsid w:val="00C57CDD"/>
    <w:rsid w:val="00C57EAC"/>
    <w:rsid w:val="00C60049"/>
    <w:rsid w:val="00C601A4"/>
    <w:rsid w:val="00C6027B"/>
    <w:rsid w:val="00C60768"/>
    <w:rsid w:val="00C609C5"/>
    <w:rsid w:val="00C60CDF"/>
    <w:rsid w:val="00C61155"/>
    <w:rsid w:val="00C61374"/>
    <w:rsid w:val="00C6154E"/>
    <w:rsid w:val="00C615B3"/>
    <w:rsid w:val="00C617B9"/>
    <w:rsid w:val="00C61A61"/>
    <w:rsid w:val="00C61A9F"/>
    <w:rsid w:val="00C6219D"/>
    <w:rsid w:val="00C62240"/>
    <w:rsid w:val="00C624D6"/>
    <w:rsid w:val="00C62508"/>
    <w:rsid w:val="00C62BA0"/>
    <w:rsid w:val="00C62F3F"/>
    <w:rsid w:val="00C6352E"/>
    <w:rsid w:val="00C63710"/>
    <w:rsid w:val="00C6379C"/>
    <w:rsid w:val="00C639E2"/>
    <w:rsid w:val="00C63BEC"/>
    <w:rsid w:val="00C63CFA"/>
    <w:rsid w:val="00C63D8B"/>
    <w:rsid w:val="00C64179"/>
    <w:rsid w:val="00C64503"/>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108"/>
    <w:rsid w:val="00C67842"/>
    <w:rsid w:val="00C678B9"/>
    <w:rsid w:val="00C67979"/>
    <w:rsid w:val="00C679CE"/>
    <w:rsid w:val="00C67B10"/>
    <w:rsid w:val="00C67B48"/>
    <w:rsid w:val="00C67B54"/>
    <w:rsid w:val="00C67BAD"/>
    <w:rsid w:val="00C67C0A"/>
    <w:rsid w:val="00C70087"/>
    <w:rsid w:val="00C701F8"/>
    <w:rsid w:val="00C705EA"/>
    <w:rsid w:val="00C708CE"/>
    <w:rsid w:val="00C70A73"/>
    <w:rsid w:val="00C70C05"/>
    <w:rsid w:val="00C70D51"/>
    <w:rsid w:val="00C711DD"/>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171"/>
    <w:rsid w:val="00C752E8"/>
    <w:rsid w:val="00C756A8"/>
    <w:rsid w:val="00C75C8B"/>
    <w:rsid w:val="00C76345"/>
    <w:rsid w:val="00C765AB"/>
    <w:rsid w:val="00C768E6"/>
    <w:rsid w:val="00C76A84"/>
    <w:rsid w:val="00C76B30"/>
    <w:rsid w:val="00C76C90"/>
    <w:rsid w:val="00C76CAF"/>
    <w:rsid w:val="00C773F6"/>
    <w:rsid w:val="00C7792F"/>
    <w:rsid w:val="00C779D5"/>
    <w:rsid w:val="00C77F1B"/>
    <w:rsid w:val="00C77FC4"/>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1DCD"/>
    <w:rsid w:val="00C82179"/>
    <w:rsid w:val="00C825B2"/>
    <w:rsid w:val="00C82B2F"/>
    <w:rsid w:val="00C82D5D"/>
    <w:rsid w:val="00C83485"/>
    <w:rsid w:val="00C8385C"/>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962"/>
    <w:rsid w:val="00C90F6D"/>
    <w:rsid w:val="00C9153E"/>
    <w:rsid w:val="00C9162A"/>
    <w:rsid w:val="00C916F7"/>
    <w:rsid w:val="00C91AB5"/>
    <w:rsid w:val="00C91C1A"/>
    <w:rsid w:val="00C91D1C"/>
    <w:rsid w:val="00C92285"/>
    <w:rsid w:val="00C922F7"/>
    <w:rsid w:val="00C929DF"/>
    <w:rsid w:val="00C92C29"/>
    <w:rsid w:val="00C92CC4"/>
    <w:rsid w:val="00C92FE7"/>
    <w:rsid w:val="00C930ED"/>
    <w:rsid w:val="00C931C6"/>
    <w:rsid w:val="00C931D5"/>
    <w:rsid w:val="00C93434"/>
    <w:rsid w:val="00C934E9"/>
    <w:rsid w:val="00C93749"/>
    <w:rsid w:val="00C93CF6"/>
    <w:rsid w:val="00C944AF"/>
    <w:rsid w:val="00C94B17"/>
    <w:rsid w:val="00C94D64"/>
    <w:rsid w:val="00C94F3C"/>
    <w:rsid w:val="00C952A0"/>
    <w:rsid w:val="00C955E2"/>
    <w:rsid w:val="00C95618"/>
    <w:rsid w:val="00C95888"/>
    <w:rsid w:val="00C9594E"/>
    <w:rsid w:val="00C95E5C"/>
    <w:rsid w:val="00C9684F"/>
    <w:rsid w:val="00C96F63"/>
    <w:rsid w:val="00C9721F"/>
    <w:rsid w:val="00C97A06"/>
    <w:rsid w:val="00C97CFC"/>
    <w:rsid w:val="00CA0187"/>
    <w:rsid w:val="00CA01D5"/>
    <w:rsid w:val="00CA0204"/>
    <w:rsid w:val="00CA11DE"/>
    <w:rsid w:val="00CA1220"/>
    <w:rsid w:val="00CA1312"/>
    <w:rsid w:val="00CA185A"/>
    <w:rsid w:val="00CA1BFC"/>
    <w:rsid w:val="00CA1DAC"/>
    <w:rsid w:val="00CA23EF"/>
    <w:rsid w:val="00CA2472"/>
    <w:rsid w:val="00CA2536"/>
    <w:rsid w:val="00CA3617"/>
    <w:rsid w:val="00CA3A15"/>
    <w:rsid w:val="00CA3B10"/>
    <w:rsid w:val="00CA3CBD"/>
    <w:rsid w:val="00CA3DC6"/>
    <w:rsid w:val="00CA3DF4"/>
    <w:rsid w:val="00CA3F1E"/>
    <w:rsid w:val="00CA3FEB"/>
    <w:rsid w:val="00CA4111"/>
    <w:rsid w:val="00CA4262"/>
    <w:rsid w:val="00CA4837"/>
    <w:rsid w:val="00CA48F1"/>
    <w:rsid w:val="00CA4F47"/>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F1"/>
    <w:rsid w:val="00CA78B9"/>
    <w:rsid w:val="00CA7CD7"/>
    <w:rsid w:val="00CA7D31"/>
    <w:rsid w:val="00CB089C"/>
    <w:rsid w:val="00CB0E67"/>
    <w:rsid w:val="00CB0F43"/>
    <w:rsid w:val="00CB0F50"/>
    <w:rsid w:val="00CB113B"/>
    <w:rsid w:val="00CB113D"/>
    <w:rsid w:val="00CB1833"/>
    <w:rsid w:val="00CB1B40"/>
    <w:rsid w:val="00CB1B74"/>
    <w:rsid w:val="00CB1C5F"/>
    <w:rsid w:val="00CB1E3B"/>
    <w:rsid w:val="00CB2067"/>
    <w:rsid w:val="00CB209A"/>
    <w:rsid w:val="00CB2511"/>
    <w:rsid w:val="00CB2ACA"/>
    <w:rsid w:val="00CB2B50"/>
    <w:rsid w:val="00CB3160"/>
    <w:rsid w:val="00CB339E"/>
    <w:rsid w:val="00CB33A7"/>
    <w:rsid w:val="00CB367C"/>
    <w:rsid w:val="00CB3E08"/>
    <w:rsid w:val="00CB410B"/>
    <w:rsid w:val="00CB43B9"/>
    <w:rsid w:val="00CB4676"/>
    <w:rsid w:val="00CB4C26"/>
    <w:rsid w:val="00CB4CA0"/>
    <w:rsid w:val="00CB4EB1"/>
    <w:rsid w:val="00CB54AB"/>
    <w:rsid w:val="00CB5849"/>
    <w:rsid w:val="00CB59A0"/>
    <w:rsid w:val="00CB5A9B"/>
    <w:rsid w:val="00CB5D0C"/>
    <w:rsid w:val="00CB5D1D"/>
    <w:rsid w:val="00CB5E33"/>
    <w:rsid w:val="00CB5F23"/>
    <w:rsid w:val="00CB61CF"/>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1029"/>
    <w:rsid w:val="00CC143E"/>
    <w:rsid w:val="00CC153D"/>
    <w:rsid w:val="00CC171B"/>
    <w:rsid w:val="00CC1CBE"/>
    <w:rsid w:val="00CC222E"/>
    <w:rsid w:val="00CC24AA"/>
    <w:rsid w:val="00CC2642"/>
    <w:rsid w:val="00CC3159"/>
    <w:rsid w:val="00CC3247"/>
    <w:rsid w:val="00CC330C"/>
    <w:rsid w:val="00CC374E"/>
    <w:rsid w:val="00CC3A8B"/>
    <w:rsid w:val="00CC3CA9"/>
    <w:rsid w:val="00CC3EFD"/>
    <w:rsid w:val="00CC43D0"/>
    <w:rsid w:val="00CC44F2"/>
    <w:rsid w:val="00CC461D"/>
    <w:rsid w:val="00CC4697"/>
    <w:rsid w:val="00CC47BF"/>
    <w:rsid w:val="00CC49A1"/>
    <w:rsid w:val="00CC4A1F"/>
    <w:rsid w:val="00CC4E05"/>
    <w:rsid w:val="00CC51A7"/>
    <w:rsid w:val="00CC5321"/>
    <w:rsid w:val="00CC56DE"/>
    <w:rsid w:val="00CC5F7D"/>
    <w:rsid w:val="00CC602A"/>
    <w:rsid w:val="00CC6233"/>
    <w:rsid w:val="00CC625A"/>
    <w:rsid w:val="00CC6613"/>
    <w:rsid w:val="00CC68A8"/>
    <w:rsid w:val="00CC6B12"/>
    <w:rsid w:val="00CC6C2A"/>
    <w:rsid w:val="00CC6D38"/>
    <w:rsid w:val="00CC6E44"/>
    <w:rsid w:val="00CC6E5A"/>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D64"/>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597"/>
    <w:rsid w:val="00CD4A2B"/>
    <w:rsid w:val="00CD4B83"/>
    <w:rsid w:val="00CD4D50"/>
    <w:rsid w:val="00CD4F8A"/>
    <w:rsid w:val="00CD566F"/>
    <w:rsid w:val="00CD595F"/>
    <w:rsid w:val="00CD63E1"/>
    <w:rsid w:val="00CD685A"/>
    <w:rsid w:val="00CD6FF3"/>
    <w:rsid w:val="00CD717A"/>
    <w:rsid w:val="00CD7195"/>
    <w:rsid w:val="00CD728D"/>
    <w:rsid w:val="00CD7EF8"/>
    <w:rsid w:val="00CE0293"/>
    <w:rsid w:val="00CE047A"/>
    <w:rsid w:val="00CE04AF"/>
    <w:rsid w:val="00CE08F9"/>
    <w:rsid w:val="00CE0CA2"/>
    <w:rsid w:val="00CE0D4A"/>
    <w:rsid w:val="00CE0E50"/>
    <w:rsid w:val="00CE113B"/>
    <w:rsid w:val="00CE11A6"/>
    <w:rsid w:val="00CE1288"/>
    <w:rsid w:val="00CE1372"/>
    <w:rsid w:val="00CE1428"/>
    <w:rsid w:val="00CE1BEF"/>
    <w:rsid w:val="00CE2152"/>
    <w:rsid w:val="00CE2AFF"/>
    <w:rsid w:val="00CE2EDE"/>
    <w:rsid w:val="00CE2F38"/>
    <w:rsid w:val="00CE347A"/>
    <w:rsid w:val="00CE34EE"/>
    <w:rsid w:val="00CE36EC"/>
    <w:rsid w:val="00CE3783"/>
    <w:rsid w:val="00CE399F"/>
    <w:rsid w:val="00CE3A20"/>
    <w:rsid w:val="00CE3A97"/>
    <w:rsid w:val="00CE3BED"/>
    <w:rsid w:val="00CE3D2C"/>
    <w:rsid w:val="00CE3EEB"/>
    <w:rsid w:val="00CE42E7"/>
    <w:rsid w:val="00CE43E3"/>
    <w:rsid w:val="00CE45D2"/>
    <w:rsid w:val="00CE4857"/>
    <w:rsid w:val="00CE48B7"/>
    <w:rsid w:val="00CE4AAB"/>
    <w:rsid w:val="00CE4B9D"/>
    <w:rsid w:val="00CE4BCD"/>
    <w:rsid w:val="00CE4F22"/>
    <w:rsid w:val="00CE4FCA"/>
    <w:rsid w:val="00CE505E"/>
    <w:rsid w:val="00CE53B9"/>
    <w:rsid w:val="00CE5813"/>
    <w:rsid w:val="00CE5C05"/>
    <w:rsid w:val="00CE5F57"/>
    <w:rsid w:val="00CE6269"/>
    <w:rsid w:val="00CE62BA"/>
    <w:rsid w:val="00CE6562"/>
    <w:rsid w:val="00CE6729"/>
    <w:rsid w:val="00CE67F8"/>
    <w:rsid w:val="00CE6AC7"/>
    <w:rsid w:val="00CE6E27"/>
    <w:rsid w:val="00CE6FC4"/>
    <w:rsid w:val="00CE72E2"/>
    <w:rsid w:val="00CE795E"/>
    <w:rsid w:val="00CE7C5D"/>
    <w:rsid w:val="00CE7CF4"/>
    <w:rsid w:val="00CE7E67"/>
    <w:rsid w:val="00CF0175"/>
    <w:rsid w:val="00CF0383"/>
    <w:rsid w:val="00CF0555"/>
    <w:rsid w:val="00CF0599"/>
    <w:rsid w:val="00CF0801"/>
    <w:rsid w:val="00CF0820"/>
    <w:rsid w:val="00CF0988"/>
    <w:rsid w:val="00CF098B"/>
    <w:rsid w:val="00CF0B02"/>
    <w:rsid w:val="00CF11CF"/>
    <w:rsid w:val="00CF15CB"/>
    <w:rsid w:val="00CF190A"/>
    <w:rsid w:val="00CF1AE4"/>
    <w:rsid w:val="00CF1B04"/>
    <w:rsid w:val="00CF1B6E"/>
    <w:rsid w:val="00CF1EDF"/>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52D"/>
    <w:rsid w:val="00CF5709"/>
    <w:rsid w:val="00CF5804"/>
    <w:rsid w:val="00CF5A8A"/>
    <w:rsid w:val="00CF5B78"/>
    <w:rsid w:val="00CF5DB3"/>
    <w:rsid w:val="00CF5E2A"/>
    <w:rsid w:val="00CF5FA3"/>
    <w:rsid w:val="00CF6041"/>
    <w:rsid w:val="00CF6264"/>
    <w:rsid w:val="00CF6704"/>
    <w:rsid w:val="00CF699C"/>
    <w:rsid w:val="00CF6D2C"/>
    <w:rsid w:val="00CF70E5"/>
    <w:rsid w:val="00CF70FC"/>
    <w:rsid w:val="00CF79BF"/>
    <w:rsid w:val="00CF7B40"/>
    <w:rsid w:val="00CF7FEB"/>
    <w:rsid w:val="00D00373"/>
    <w:rsid w:val="00D00483"/>
    <w:rsid w:val="00D00489"/>
    <w:rsid w:val="00D00664"/>
    <w:rsid w:val="00D006A3"/>
    <w:rsid w:val="00D00C24"/>
    <w:rsid w:val="00D00C3A"/>
    <w:rsid w:val="00D00C4C"/>
    <w:rsid w:val="00D00DA7"/>
    <w:rsid w:val="00D01352"/>
    <w:rsid w:val="00D02045"/>
    <w:rsid w:val="00D02434"/>
    <w:rsid w:val="00D026E3"/>
    <w:rsid w:val="00D0289C"/>
    <w:rsid w:val="00D0299C"/>
    <w:rsid w:val="00D02E44"/>
    <w:rsid w:val="00D03148"/>
    <w:rsid w:val="00D031A7"/>
    <w:rsid w:val="00D0343C"/>
    <w:rsid w:val="00D03680"/>
    <w:rsid w:val="00D037D5"/>
    <w:rsid w:val="00D03851"/>
    <w:rsid w:val="00D039A0"/>
    <w:rsid w:val="00D03BDD"/>
    <w:rsid w:val="00D03CED"/>
    <w:rsid w:val="00D041DA"/>
    <w:rsid w:val="00D04473"/>
    <w:rsid w:val="00D0487D"/>
    <w:rsid w:val="00D048A9"/>
    <w:rsid w:val="00D048EA"/>
    <w:rsid w:val="00D04BC7"/>
    <w:rsid w:val="00D04E5F"/>
    <w:rsid w:val="00D05383"/>
    <w:rsid w:val="00D053AE"/>
    <w:rsid w:val="00D05E52"/>
    <w:rsid w:val="00D05ED0"/>
    <w:rsid w:val="00D06B2D"/>
    <w:rsid w:val="00D06F90"/>
    <w:rsid w:val="00D07222"/>
    <w:rsid w:val="00D07285"/>
    <w:rsid w:val="00D07555"/>
    <w:rsid w:val="00D076FE"/>
    <w:rsid w:val="00D077A5"/>
    <w:rsid w:val="00D07833"/>
    <w:rsid w:val="00D07BE3"/>
    <w:rsid w:val="00D07CDE"/>
    <w:rsid w:val="00D07F37"/>
    <w:rsid w:val="00D07FFE"/>
    <w:rsid w:val="00D1027F"/>
    <w:rsid w:val="00D1072F"/>
    <w:rsid w:val="00D109F9"/>
    <w:rsid w:val="00D10A62"/>
    <w:rsid w:val="00D10AD0"/>
    <w:rsid w:val="00D10DFE"/>
    <w:rsid w:val="00D10E37"/>
    <w:rsid w:val="00D10EAC"/>
    <w:rsid w:val="00D110FD"/>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1D"/>
    <w:rsid w:val="00D1395D"/>
    <w:rsid w:val="00D1419E"/>
    <w:rsid w:val="00D14324"/>
    <w:rsid w:val="00D14639"/>
    <w:rsid w:val="00D1491E"/>
    <w:rsid w:val="00D14FA8"/>
    <w:rsid w:val="00D1538B"/>
    <w:rsid w:val="00D15451"/>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2FA"/>
    <w:rsid w:val="00D17458"/>
    <w:rsid w:val="00D17C4B"/>
    <w:rsid w:val="00D17DE3"/>
    <w:rsid w:val="00D17E1C"/>
    <w:rsid w:val="00D17E37"/>
    <w:rsid w:val="00D20083"/>
    <w:rsid w:val="00D209F8"/>
    <w:rsid w:val="00D20ACA"/>
    <w:rsid w:val="00D20B9E"/>
    <w:rsid w:val="00D20ED8"/>
    <w:rsid w:val="00D21070"/>
    <w:rsid w:val="00D213D3"/>
    <w:rsid w:val="00D21694"/>
    <w:rsid w:val="00D218D9"/>
    <w:rsid w:val="00D21A9A"/>
    <w:rsid w:val="00D21AA6"/>
    <w:rsid w:val="00D22393"/>
    <w:rsid w:val="00D22523"/>
    <w:rsid w:val="00D22548"/>
    <w:rsid w:val="00D22725"/>
    <w:rsid w:val="00D2277E"/>
    <w:rsid w:val="00D22899"/>
    <w:rsid w:val="00D229B8"/>
    <w:rsid w:val="00D22A26"/>
    <w:rsid w:val="00D22BAB"/>
    <w:rsid w:val="00D22D11"/>
    <w:rsid w:val="00D231A8"/>
    <w:rsid w:val="00D2341B"/>
    <w:rsid w:val="00D23598"/>
    <w:rsid w:val="00D235F9"/>
    <w:rsid w:val="00D236EB"/>
    <w:rsid w:val="00D24224"/>
    <w:rsid w:val="00D244E4"/>
    <w:rsid w:val="00D246A5"/>
    <w:rsid w:val="00D24ACE"/>
    <w:rsid w:val="00D24B8B"/>
    <w:rsid w:val="00D24BAC"/>
    <w:rsid w:val="00D24F64"/>
    <w:rsid w:val="00D2523E"/>
    <w:rsid w:val="00D25471"/>
    <w:rsid w:val="00D25794"/>
    <w:rsid w:val="00D25877"/>
    <w:rsid w:val="00D25963"/>
    <w:rsid w:val="00D25A9F"/>
    <w:rsid w:val="00D25EF2"/>
    <w:rsid w:val="00D25F05"/>
    <w:rsid w:val="00D25F21"/>
    <w:rsid w:val="00D26564"/>
    <w:rsid w:val="00D267EC"/>
    <w:rsid w:val="00D26874"/>
    <w:rsid w:val="00D26A6E"/>
    <w:rsid w:val="00D26AAC"/>
    <w:rsid w:val="00D26E0D"/>
    <w:rsid w:val="00D27448"/>
    <w:rsid w:val="00D276EF"/>
    <w:rsid w:val="00D277C8"/>
    <w:rsid w:val="00D27887"/>
    <w:rsid w:val="00D27AF7"/>
    <w:rsid w:val="00D27CDF"/>
    <w:rsid w:val="00D27FAD"/>
    <w:rsid w:val="00D27FDE"/>
    <w:rsid w:val="00D3086F"/>
    <w:rsid w:val="00D30A62"/>
    <w:rsid w:val="00D30E69"/>
    <w:rsid w:val="00D30E99"/>
    <w:rsid w:val="00D30F7E"/>
    <w:rsid w:val="00D30F95"/>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796"/>
    <w:rsid w:val="00D338E8"/>
    <w:rsid w:val="00D33950"/>
    <w:rsid w:val="00D33C50"/>
    <w:rsid w:val="00D33D39"/>
    <w:rsid w:val="00D33DB3"/>
    <w:rsid w:val="00D33E5D"/>
    <w:rsid w:val="00D33FDF"/>
    <w:rsid w:val="00D343F4"/>
    <w:rsid w:val="00D34FA3"/>
    <w:rsid w:val="00D3508B"/>
    <w:rsid w:val="00D352A8"/>
    <w:rsid w:val="00D3575C"/>
    <w:rsid w:val="00D3596B"/>
    <w:rsid w:val="00D35AAA"/>
    <w:rsid w:val="00D3656C"/>
    <w:rsid w:val="00D3664E"/>
    <w:rsid w:val="00D36697"/>
    <w:rsid w:val="00D367BE"/>
    <w:rsid w:val="00D36AC1"/>
    <w:rsid w:val="00D36B0A"/>
    <w:rsid w:val="00D36BD5"/>
    <w:rsid w:val="00D36CC0"/>
    <w:rsid w:val="00D3707C"/>
    <w:rsid w:val="00D371EA"/>
    <w:rsid w:val="00D3751E"/>
    <w:rsid w:val="00D375F4"/>
    <w:rsid w:val="00D3762A"/>
    <w:rsid w:val="00D3762F"/>
    <w:rsid w:val="00D37713"/>
    <w:rsid w:val="00D3781D"/>
    <w:rsid w:val="00D37967"/>
    <w:rsid w:val="00D37C4C"/>
    <w:rsid w:val="00D37D91"/>
    <w:rsid w:val="00D4011E"/>
    <w:rsid w:val="00D4031A"/>
    <w:rsid w:val="00D405EE"/>
    <w:rsid w:val="00D4089D"/>
    <w:rsid w:val="00D40B85"/>
    <w:rsid w:val="00D40E52"/>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CAA"/>
    <w:rsid w:val="00D43ED1"/>
    <w:rsid w:val="00D43FDE"/>
    <w:rsid w:val="00D4438C"/>
    <w:rsid w:val="00D4455C"/>
    <w:rsid w:val="00D44CB3"/>
    <w:rsid w:val="00D44D87"/>
    <w:rsid w:val="00D45134"/>
    <w:rsid w:val="00D4516E"/>
    <w:rsid w:val="00D45280"/>
    <w:rsid w:val="00D454E7"/>
    <w:rsid w:val="00D4586D"/>
    <w:rsid w:val="00D45C84"/>
    <w:rsid w:val="00D45CD0"/>
    <w:rsid w:val="00D45D60"/>
    <w:rsid w:val="00D45E9F"/>
    <w:rsid w:val="00D45FD8"/>
    <w:rsid w:val="00D45FF9"/>
    <w:rsid w:val="00D460B4"/>
    <w:rsid w:val="00D46D06"/>
    <w:rsid w:val="00D46DFC"/>
    <w:rsid w:val="00D46E38"/>
    <w:rsid w:val="00D46F73"/>
    <w:rsid w:val="00D4732B"/>
    <w:rsid w:val="00D4770D"/>
    <w:rsid w:val="00D478A8"/>
    <w:rsid w:val="00D47C9F"/>
    <w:rsid w:val="00D47DAA"/>
    <w:rsid w:val="00D47ECD"/>
    <w:rsid w:val="00D47F29"/>
    <w:rsid w:val="00D504A5"/>
    <w:rsid w:val="00D50B24"/>
    <w:rsid w:val="00D50B98"/>
    <w:rsid w:val="00D50C5A"/>
    <w:rsid w:val="00D51015"/>
    <w:rsid w:val="00D510B8"/>
    <w:rsid w:val="00D51328"/>
    <w:rsid w:val="00D513C2"/>
    <w:rsid w:val="00D51486"/>
    <w:rsid w:val="00D51558"/>
    <w:rsid w:val="00D5160A"/>
    <w:rsid w:val="00D5174F"/>
    <w:rsid w:val="00D518C9"/>
    <w:rsid w:val="00D51BCC"/>
    <w:rsid w:val="00D51C1C"/>
    <w:rsid w:val="00D51CC7"/>
    <w:rsid w:val="00D522D4"/>
    <w:rsid w:val="00D52400"/>
    <w:rsid w:val="00D52814"/>
    <w:rsid w:val="00D532A0"/>
    <w:rsid w:val="00D53318"/>
    <w:rsid w:val="00D535AD"/>
    <w:rsid w:val="00D53756"/>
    <w:rsid w:val="00D539FE"/>
    <w:rsid w:val="00D53A46"/>
    <w:rsid w:val="00D53A76"/>
    <w:rsid w:val="00D53B86"/>
    <w:rsid w:val="00D53CD5"/>
    <w:rsid w:val="00D54027"/>
    <w:rsid w:val="00D542BF"/>
    <w:rsid w:val="00D544C0"/>
    <w:rsid w:val="00D544E7"/>
    <w:rsid w:val="00D548BD"/>
    <w:rsid w:val="00D54E70"/>
    <w:rsid w:val="00D550F3"/>
    <w:rsid w:val="00D55241"/>
    <w:rsid w:val="00D55435"/>
    <w:rsid w:val="00D55752"/>
    <w:rsid w:val="00D55786"/>
    <w:rsid w:val="00D55976"/>
    <w:rsid w:val="00D56291"/>
    <w:rsid w:val="00D5643E"/>
    <w:rsid w:val="00D5644C"/>
    <w:rsid w:val="00D56ABD"/>
    <w:rsid w:val="00D5710B"/>
    <w:rsid w:val="00D57439"/>
    <w:rsid w:val="00D5779E"/>
    <w:rsid w:val="00D5786D"/>
    <w:rsid w:val="00D57A06"/>
    <w:rsid w:val="00D57A2D"/>
    <w:rsid w:val="00D57B26"/>
    <w:rsid w:val="00D57D71"/>
    <w:rsid w:val="00D57F18"/>
    <w:rsid w:val="00D60475"/>
    <w:rsid w:val="00D60484"/>
    <w:rsid w:val="00D608BE"/>
    <w:rsid w:val="00D60AE5"/>
    <w:rsid w:val="00D60B3D"/>
    <w:rsid w:val="00D60D16"/>
    <w:rsid w:val="00D618B8"/>
    <w:rsid w:val="00D6199E"/>
    <w:rsid w:val="00D61A7F"/>
    <w:rsid w:val="00D61C72"/>
    <w:rsid w:val="00D61CCB"/>
    <w:rsid w:val="00D61E96"/>
    <w:rsid w:val="00D61F21"/>
    <w:rsid w:val="00D62419"/>
    <w:rsid w:val="00D62B9C"/>
    <w:rsid w:val="00D62F49"/>
    <w:rsid w:val="00D632A5"/>
    <w:rsid w:val="00D633AB"/>
    <w:rsid w:val="00D636B2"/>
    <w:rsid w:val="00D638A7"/>
    <w:rsid w:val="00D639E9"/>
    <w:rsid w:val="00D642C2"/>
    <w:rsid w:val="00D64314"/>
    <w:rsid w:val="00D64530"/>
    <w:rsid w:val="00D645DA"/>
    <w:rsid w:val="00D64F6D"/>
    <w:rsid w:val="00D6574E"/>
    <w:rsid w:val="00D65859"/>
    <w:rsid w:val="00D65B6A"/>
    <w:rsid w:val="00D65C50"/>
    <w:rsid w:val="00D65C51"/>
    <w:rsid w:val="00D660C6"/>
    <w:rsid w:val="00D66118"/>
    <w:rsid w:val="00D66236"/>
    <w:rsid w:val="00D6623A"/>
    <w:rsid w:val="00D66593"/>
    <w:rsid w:val="00D66A57"/>
    <w:rsid w:val="00D66A6B"/>
    <w:rsid w:val="00D66CD9"/>
    <w:rsid w:val="00D66E60"/>
    <w:rsid w:val="00D66F0A"/>
    <w:rsid w:val="00D6759E"/>
    <w:rsid w:val="00D675B1"/>
    <w:rsid w:val="00D67722"/>
    <w:rsid w:val="00D67839"/>
    <w:rsid w:val="00D67A79"/>
    <w:rsid w:val="00D67E0C"/>
    <w:rsid w:val="00D67F33"/>
    <w:rsid w:val="00D70088"/>
    <w:rsid w:val="00D702D8"/>
    <w:rsid w:val="00D70676"/>
    <w:rsid w:val="00D70755"/>
    <w:rsid w:val="00D7075C"/>
    <w:rsid w:val="00D709F0"/>
    <w:rsid w:val="00D70D80"/>
    <w:rsid w:val="00D70E68"/>
    <w:rsid w:val="00D70F63"/>
    <w:rsid w:val="00D7124F"/>
    <w:rsid w:val="00D71286"/>
    <w:rsid w:val="00D7149A"/>
    <w:rsid w:val="00D71820"/>
    <w:rsid w:val="00D71992"/>
    <w:rsid w:val="00D71BDD"/>
    <w:rsid w:val="00D71C11"/>
    <w:rsid w:val="00D71D5F"/>
    <w:rsid w:val="00D71E9E"/>
    <w:rsid w:val="00D71F84"/>
    <w:rsid w:val="00D7229C"/>
    <w:rsid w:val="00D72452"/>
    <w:rsid w:val="00D728F9"/>
    <w:rsid w:val="00D7299A"/>
    <w:rsid w:val="00D72B50"/>
    <w:rsid w:val="00D72C86"/>
    <w:rsid w:val="00D72D49"/>
    <w:rsid w:val="00D72D61"/>
    <w:rsid w:val="00D72E4C"/>
    <w:rsid w:val="00D72F0F"/>
    <w:rsid w:val="00D732DE"/>
    <w:rsid w:val="00D733D1"/>
    <w:rsid w:val="00D738C5"/>
    <w:rsid w:val="00D73B03"/>
    <w:rsid w:val="00D73B1F"/>
    <w:rsid w:val="00D74029"/>
    <w:rsid w:val="00D7416D"/>
    <w:rsid w:val="00D74509"/>
    <w:rsid w:val="00D74519"/>
    <w:rsid w:val="00D74C76"/>
    <w:rsid w:val="00D74D54"/>
    <w:rsid w:val="00D74F2C"/>
    <w:rsid w:val="00D74FB3"/>
    <w:rsid w:val="00D75477"/>
    <w:rsid w:val="00D754D2"/>
    <w:rsid w:val="00D76229"/>
    <w:rsid w:val="00D7637F"/>
    <w:rsid w:val="00D7641E"/>
    <w:rsid w:val="00D765EE"/>
    <w:rsid w:val="00D76978"/>
    <w:rsid w:val="00D77281"/>
    <w:rsid w:val="00D77285"/>
    <w:rsid w:val="00D77484"/>
    <w:rsid w:val="00D77595"/>
    <w:rsid w:val="00D77CF9"/>
    <w:rsid w:val="00D77D3D"/>
    <w:rsid w:val="00D77F6D"/>
    <w:rsid w:val="00D80684"/>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7C0"/>
    <w:rsid w:val="00D8388A"/>
    <w:rsid w:val="00D83B25"/>
    <w:rsid w:val="00D83B77"/>
    <w:rsid w:val="00D83BE8"/>
    <w:rsid w:val="00D83DCE"/>
    <w:rsid w:val="00D83DD6"/>
    <w:rsid w:val="00D84187"/>
    <w:rsid w:val="00D84374"/>
    <w:rsid w:val="00D843DE"/>
    <w:rsid w:val="00D8456C"/>
    <w:rsid w:val="00D84676"/>
    <w:rsid w:val="00D84B1C"/>
    <w:rsid w:val="00D84CBF"/>
    <w:rsid w:val="00D84E31"/>
    <w:rsid w:val="00D84E9F"/>
    <w:rsid w:val="00D85110"/>
    <w:rsid w:val="00D85170"/>
    <w:rsid w:val="00D85676"/>
    <w:rsid w:val="00D85901"/>
    <w:rsid w:val="00D85B01"/>
    <w:rsid w:val="00D85DED"/>
    <w:rsid w:val="00D85EFB"/>
    <w:rsid w:val="00D8608D"/>
    <w:rsid w:val="00D860FA"/>
    <w:rsid w:val="00D8623B"/>
    <w:rsid w:val="00D86376"/>
    <w:rsid w:val="00D86695"/>
    <w:rsid w:val="00D868FB"/>
    <w:rsid w:val="00D86A38"/>
    <w:rsid w:val="00D86DDB"/>
    <w:rsid w:val="00D87453"/>
    <w:rsid w:val="00D87876"/>
    <w:rsid w:val="00D87A3A"/>
    <w:rsid w:val="00D87E4F"/>
    <w:rsid w:val="00D87F29"/>
    <w:rsid w:val="00D90027"/>
    <w:rsid w:val="00D9007E"/>
    <w:rsid w:val="00D902BC"/>
    <w:rsid w:val="00D904FE"/>
    <w:rsid w:val="00D9052F"/>
    <w:rsid w:val="00D905D6"/>
    <w:rsid w:val="00D9076B"/>
    <w:rsid w:val="00D907D0"/>
    <w:rsid w:val="00D909E8"/>
    <w:rsid w:val="00D90D9E"/>
    <w:rsid w:val="00D918DE"/>
    <w:rsid w:val="00D91C96"/>
    <w:rsid w:val="00D91D3A"/>
    <w:rsid w:val="00D9254F"/>
    <w:rsid w:val="00D92E5E"/>
    <w:rsid w:val="00D93222"/>
    <w:rsid w:val="00D9332D"/>
    <w:rsid w:val="00D9361C"/>
    <w:rsid w:val="00D9367E"/>
    <w:rsid w:val="00D93E70"/>
    <w:rsid w:val="00D940CE"/>
    <w:rsid w:val="00D9443A"/>
    <w:rsid w:val="00D94440"/>
    <w:rsid w:val="00D944E5"/>
    <w:rsid w:val="00D94609"/>
    <w:rsid w:val="00D94778"/>
    <w:rsid w:val="00D94E38"/>
    <w:rsid w:val="00D94FAB"/>
    <w:rsid w:val="00D9516E"/>
    <w:rsid w:val="00D955C3"/>
    <w:rsid w:val="00D95799"/>
    <w:rsid w:val="00D95993"/>
    <w:rsid w:val="00D95DE9"/>
    <w:rsid w:val="00D95EDF"/>
    <w:rsid w:val="00D962B9"/>
    <w:rsid w:val="00D96342"/>
    <w:rsid w:val="00D96361"/>
    <w:rsid w:val="00D96711"/>
    <w:rsid w:val="00D96A38"/>
    <w:rsid w:val="00D96D2B"/>
    <w:rsid w:val="00D96D91"/>
    <w:rsid w:val="00D96E39"/>
    <w:rsid w:val="00D97192"/>
    <w:rsid w:val="00D9728C"/>
    <w:rsid w:val="00D97487"/>
    <w:rsid w:val="00D97738"/>
    <w:rsid w:val="00D97B39"/>
    <w:rsid w:val="00D97E97"/>
    <w:rsid w:val="00D97EF8"/>
    <w:rsid w:val="00DA0391"/>
    <w:rsid w:val="00DA0DB4"/>
    <w:rsid w:val="00DA0EB3"/>
    <w:rsid w:val="00DA179C"/>
    <w:rsid w:val="00DA18C6"/>
    <w:rsid w:val="00DA1ABE"/>
    <w:rsid w:val="00DA1FA6"/>
    <w:rsid w:val="00DA217E"/>
    <w:rsid w:val="00DA2735"/>
    <w:rsid w:val="00DA2AF2"/>
    <w:rsid w:val="00DA2CA7"/>
    <w:rsid w:val="00DA2E9C"/>
    <w:rsid w:val="00DA30A8"/>
    <w:rsid w:val="00DA30D3"/>
    <w:rsid w:val="00DA3222"/>
    <w:rsid w:val="00DA33CB"/>
    <w:rsid w:val="00DA3958"/>
    <w:rsid w:val="00DA3966"/>
    <w:rsid w:val="00DA39B0"/>
    <w:rsid w:val="00DA3ADB"/>
    <w:rsid w:val="00DA3AE3"/>
    <w:rsid w:val="00DA3AFA"/>
    <w:rsid w:val="00DA3F14"/>
    <w:rsid w:val="00DA3FC1"/>
    <w:rsid w:val="00DA487D"/>
    <w:rsid w:val="00DA4901"/>
    <w:rsid w:val="00DA4915"/>
    <w:rsid w:val="00DA4A82"/>
    <w:rsid w:val="00DA4B4F"/>
    <w:rsid w:val="00DA4E17"/>
    <w:rsid w:val="00DA4EA3"/>
    <w:rsid w:val="00DA4F55"/>
    <w:rsid w:val="00DA535B"/>
    <w:rsid w:val="00DA56F9"/>
    <w:rsid w:val="00DA5818"/>
    <w:rsid w:val="00DA5845"/>
    <w:rsid w:val="00DA5B1B"/>
    <w:rsid w:val="00DA5C0C"/>
    <w:rsid w:val="00DA5FAB"/>
    <w:rsid w:val="00DA626A"/>
    <w:rsid w:val="00DA637B"/>
    <w:rsid w:val="00DA67D0"/>
    <w:rsid w:val="00DA6E8A"/>
    <w:rsid w:val="00DA729D"/>
    <w:rsid w:val="00DA7C2D"/>
    <w:rsid w:val="00DA7D8A"/>
    <w:rsid w:val="00DA7FA8"/>
    <w:rsid w:val="00DB0030"/>
    <w:rsid w:val="00DB0248"/>
    <w:rsid w:val="00DB04CB"/>
    <w:rsid w:val="00DB04F1"/>
    <w:rsid w:val="00DB060E"/>
    <w:rsid w:val="00DB0AE9"/>
    <w:rsid w:val="00DB0B1E"/>
    <w:rsid w:val="00DB0B96"/>
    <w:rsid w:val="00DB1319"/>
    <w:rsid w:val="00DB18E2"/>
    <w:rsid w:val="00DB1A61"/>
    <w:rsid w:val="00DB1DE9"/>
    <w:rsid w:val="00DB1FD7"/>
    <w:rsid w:val="00DB21FE"/>
    <w:rsid w:val="00DB23AC"/>
    <w:rsid w:val="00DB2539"/>
    <w:rsid w:val="00DB2557"/>
    <w:rsid w:val="00DB261E"/>
    <w:rsid w:val="00DB2B20"/>
    <w:rsid w:val="00DB2C72"/>
    <w:rsid w:val="00DB2CC2"/>
    <w:rsid w:val="00DB2D79"/>
    <w:rsid w:val="00DB3321"/>
    <w:rsid w:val="00DB332C"/>
    <w:rsid w:val="00DB35AB"/>
    <w:rsid w:val="00DB380E"/>
    <w:rsid w:val="00DB3D07"/>
    <w:rsid w:val="00DB3D43"/>
    <w:rsid w:val="00DB3EF5"/>
    <w:rsid w:val="00DB403F"/>
    <w:rsid w:val="00DB4049"/>
    <w:rsid w:val="00DB4058"/>
    <w:rsid w:val="00DB40B7"/>
    <w:rsid w:val="00DB4550"/>
    <w:rsid w:val="00DB4904"/>
    <w:rsid w:val="00DB49FE"/>
    <w:rsid w:val="00DB4BD2"/>
    <w:rsid w:val="00DB553C"/>
    <w:rsid w:val="00DB5B6A"/>
    <w:rsid w:val="00DB5F51"/>
    <w:rsid w:val="00DB623D"/>
    <w:rsid w:val="00DB6345"/>
    <w:rsid w:val="00DB634F"/>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E46"/>
    <w:rsid w:val="00DC228E"/>
    <w:rsid w:val="00DC2B66"/>
    <w:rsid w:val="00DC3684"/>
    <w:rsid w:val="00DC3914"/>
    <w:rsid w:val="00DC392D"/>
    <w:rsid w:val="00DC3C27"/>
    <w:rsid w:val="00DC4640"/>
    <w:rsid w:val="00DC46F9"/>
    <w:rsid w:val="00DC4BCD"/>
    <w:rsid w:val="00DC4DE3"/>
    <w:rsid w:val="00DC54AA"/>
    <w:rsid w:val="00DC5A82"/>
    <w:rsid w:val="00DC5AD5"/>
    <w:rsid w:val="00DC5B2F"/>
    <w:rsid w:val="00DC5DE3"/>
    <w:rsid w:val="00DC60FE"/>
    <w:rsid w:val="00DC6101"/>
    <w:rsid w:val="00DC63BC"/>
    <w:rsid w:val="00DC7416"/>
    <w:rsid w:val="00DC7590"/>
    <w:rsid w:val="00DC774E"/>
    <w:rsid w:val="00DC776A"/>
    <w:rsid w:val="00DC77BB"/>
    <w:rsid w:val="00DC79EE"/>
    <w:rsid w:val="00DD0070"/>
    <w:rsid w:val="00DD00EC"/>
    <w:rsid w:val="00DD0271"/>
    <w:rsid w:val="00DD03C2"/>
    <w:rsid w:val="00DD06FD"/>
    <w:rsid w:val="00DD07D4"/>
    <w:rsid w:val="00DD0A44"/>
    <w:rsid w:val="00DD13C5"/>
    <w:rsid w:val="00DD156E"/>
    <w:rsid w:val="00DD17EA"/>
    <w:rsid w:val="00DD1AA5"/>
    <w:rsid w:val="00DD2266"/>
    <w:rsid w:val="00DD22EE"/>
    <w:rsid w:val="00DD2A4C"/>
    <w:rsid w:val="00DD2CF9"/>
    <w:rsid w:val="00DD30AF"/>
    <w:rsid w:val="00DD3221"/>
    <w:rsid w:val="00DD33CA"/>
    <w:rsid w:val="00DD35E4"/>
    <w:rsid w:val="00DD3761"/>
    <w:rsid w:val="00DD3AB9"/>
    <w:rsid w:val="00DD3C55"/>
    <w:rsid w:val="00DD3F42"/>
    <w:rsid w:val="00DD3F74"/>
    <w:rsid w:val="00DD44CB"/>
    <w:rsid w:val="00DD47D1"/>
    <w:rsid w:val="00DD4AD4"/>
    <w:rsid w:val="00DD4AD8"/>
    <w:rsid w:val="00DD4E07"/>
    <w:rsid w:val="00DD4E26"/>
    <w:rsid w:val="00DD508E"/>
    <w:rsid w:val="00DD50D6"/>
    <w:rsid w:val="00DD53A6"/>
    <w:rsid w:val="00DD58D7"/>
    <w:rsid w:val="00DD5BBA"/>
    <w:rsid w:val="00DD610F"/>
    <w:rsid w:val="00DD6294"/>
    <w:rsid w:val="00DD633E"/>
    <w:rsid w:val="00DD6945"/>
    <w:rsid w:val="00DD6F37"/>
    <w:rsid w:val="00DD6F4E"/>
    <w:rsid w:val="00DD7336"/>
    <w:rsid w:val="00DD7393"/>
    <w:rsid w:val="00DD7637"/>
    <w:rsid w:val="00DD768F"/>
    <w:rsid w:val="00DD78AE"/>
    <w:rsid w:val="00DD7A90"/>
    <w:rsid w:val="00DD7D8E"/>
    <w:rsid w:val="00DD7EDB"/>
    <w:rsid w:val="00DE0164"/>
    <w:rsid w:val="00DE0383"/>
    <w:rsid w:val="00DE0564"/>
    <w:rsid w:val="00DE07B7"/>
    <w:rsid w:val="00DE0809"/>
    <w:rsid w:val="00DE0A2D"/>
    <w:rsid w:val="00DE0B4B"/>
    <w:rsid w:val="00DE0D99"/>
    <w:rsid w:val="00DE198E"/>
    <w:rsid w:val="00DE1AAE"/>
    <w:rsid w:val="00DE1C99"/>
    <w:rsid w:val="00DE1FEA"/>
    <w:rsid w:val="00DE2546"/>
    <w:rsid w:val="00DE2F77"/>
    <w:rsid w:val="00DE3091"/>
    <w:rsid w:val="00DE334D"/>
    <w:rsid w:val="00DE33E3"/>
    <w:rsid w:val="00DE33FF"/>
    <w:rsid w:val="00DE354F"/>
    <w:rsid w:val="00DE3618"/>
    <w:rsid w:val="00DE3763"/>
    <w:rsid w:val="00DE3FEF"/>
    <w:rsid w:val="00DE407A"/>
    <w:rsid w:val="00DE40F3"/>
    <w:rsid w:val="00DE40FD"/>
    <w:rsid w:val="00DE42ED"/>
    <w:rsid w:val="00DE4303"/>
    <w:rsid w:val="00DE4540"/>
    <w:rsid w:val="00DE4CB5"/>
    <w:rsid w:val="00DE536D"/>
    <w:rsid w:val="00DE5F14"/>
    <w:rsid w:val="00DE5F6B"/>
    <w:rsid w:val="00DE661E"/>
    <w:rsid w:val="00DE67B5"/>
    <w:rsid w:val="00DE693F"/>
    <w:rsid w:val="00DE6A54"/>
    <w:rsid w:val="00DE6B45"/>
    <w:rsid w:val="00DE6CEB"/>
    <w:rsid w:val="00DE6D88"/>
    <w:rsid w:val="00DE6D96"/>
    <w:rsid w:val="00DE6F21"/>
    <w:rsid w:val="00DE7143"/>
    <w:rsid w:val="00DE7368"/>
    <w:rsid w:val="00DE7472"/>
    <w:rsid w:val="00DE7550"/>
    <w:rsid w:val="00DE76D8"/>
    <w:rsid w:val="00DE790F"/>
    <w:rsid w:val="00DE7CA8"/>
    <w:rsid w:val="00DE7E67"/>
    <w:rsid w:val="00DF039A"/>
    <w:rsid w:val="00DF0773"/>
    <w:rsid w:val="00DF0BCA"/>
    <w:rsid w:val="00DF0C2C"/>
    <w:rsid w:val="00DF0E43"/>
    <w:rsid w:val="00DF1118"/>
    <w:rsid w:val="00DF1159"/>
    <w:rsid w:val="00DF121B"/>
    <w:rsid w:val="00DF172E"/>
    <w:rsid w:val="00DF1F86"/>
    <w:rsid w:val="00DF2343"/>
    <w:rsid w:val="00DF2354"/>
    <w:rsid w:val="00DF2B33"/>
    <w:rsid w:val="00DF32D7"/>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1FA"/>
    <w:rsid w:val="00DF7321"/>
    <w:rsid w:val="00DF79B9"/>
    <w:rsid w:val="00E00301"/>
    <w:rsid w:val="00E00AA0"/>
    <w:rsid w:val="00E010F3"/>
    <w:rsid w:val="00E01499"/>
    <w:rsid w:val="00E014C1"/>
    <w:rsid w:val="00E0161A"/>
    <w:rsid w:val="00E01863"/>
    <w:rsid w:val="00E01969"/>
    <w:rsid w:val="00E01FA1"/>
    <w:rsid w:val="00E02063"/>
    <w:rsid w:val="00E0267E"/>
    <w:rsid w:val="00E02BEA"/>
    <w:rsid w:val="00E02DC5"/>
    <w:rsid w:val="00E02FF4"/>
    <w:rsid w:val="00E0313C"/>
    <w:rsid w:val="00E034E3"/>
    <w:rsid w:val="00E0360D"/>
    <w:rsid w:val="00E03A2F"/>
    <w:rsid w:val="00E03A80"/>
    <w:rsid w:val="00E03FD6"/>
    <w:rsid w:val="00E043ED"/>
    <w:rsid w:val="00E044C9"/>
    <w:rsid w:val="00E0468E"/>
    <w:rsid w:val="00E04BB6"/>
    <w:rsid w:val="00E04CF2"/>
    <w:rsid w:val="00E04D1A"/>
    <w:rsid w:val="00E050DD"/>
    <w:rsid w:val="00E051B9"/>
    <w:rsid w:val="00E05252"/>
    <w:rsid w:val="00E0597E"/>
    <w:rsid w:val="00E05A1D"/>
    <w:rsid w:val="00E05D34"/>
    <w:rsid w:val="00E05EDB"/>
    <w:rsid w:val="00E05FFC"/>
    <w:rsid w:val="00E06017"/>
    <w:rsid w:val="00E063E9"/>
    <w:rsid w:val="00E065BF"/>
    <w:rsid w:val="00E06741"/>
    <w:rsid w:val="00E06866"/>
    <w:rsid w:val="00E0698A"/>
    <w:rsid w:val="00E06C3B"/>
    <w:rsid w:val="00E06DF3"/>
    <w:rsid w:val="00E074AB"/>
    <w:rsid w:val="00E079A5"/>
    <w:rsid w:val="00E07ACC"/>
    <w:rsid w:val="00E07B4C"/>
    <w:rsid w:val="00E07C80"/>
    <w:rsid w:val="00E07D64"/>
    <w:rsid w:val="00E10048"/>
    <w:rsid w:val="00E10381"/>
    <w:rsid w:val="00E103B6"/>
    <w:rsid w:val="00E1060D"/>
    <w:rsid w:val="00E1088B"/>
    <w:rsid w:val="00E10B74"/>
    <w:rsid w:val="00E10BFF"/>
    <w:rsid w:val="00E110A9"/>
    <w:rsid w:val="00E1110C"/>
    <w:rsid w:val="00E11676"/>
    <w:rsid w:val="00E116E3"/>
    <w:rsid w:val="00E11EF6"/>
    <w:rsid w:val="00E11F27"/>
    <w:rsid w:val="00E11FE5"/>
    <w:rsid w:val="00E12004"/>
    <w:rsid w:val="00E1203C"/>
    <w:rsid w:val="00E1276E"/>
    <w:rsid w:val="00E128EF"/>
    <w:rsid w:val="00E12A54"/>
    <w:rsid w:val="00E12ACB"/>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592E"/>
    <w:rsid w:val="00E161D7"/>
    <w:rsid w:val="00E165DD"/>
    <w:rsid w:val="00E1680D"/>
    <w:rsid w:val="00E16B66"/>
    <w:rsid w:val="00E16C5C"/>
    <w:rsid w:val="00E16DEE"/>
    <w:rsid w:val="00E1701B"/>
    <w:rsid w:val="00E173A5"/>
    <w:rsid w:val="00E17620"/>
    <w:rsid w:val="00E17C64"/>
    <w:rsid w:val="00E17E5D"/>
    <w:rsid w:val="00E204C9"/>
    <w:rsid w:val="00E20A3B"/>
    <w:rsid w:val="00E20B42"/>
    <w:rsid w:val="00E20D5B"/>
    <w:rsid w:val="00E20F17"/>
    <w:rsid w:val="00E21128"/>
    <w:rsid w:val="00E213D2"/>
    <w:rsid w:val="00E215BB"/>
    <w:rsid w:val="00E2166A"/>
    <w:rsid w:val="00E216A0"/>
    <w:rsid w:val="00E216B9"/>
    <w:rsid w:val="00E2199B"/>
    <w:rsid w:val="00E220CA"/>
    <w:rsid w:val="00E22479"/>
    <w:rsid w:val="00E22725"/>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34E"/>
    <w:rsid w:val="00E266E1"/>
    <w:rsid w:val="00E26787"/>
    <w:rsid w:val="00E26941"/>
    <w:rsid w:val="00E26AF4"/>
    <w:rsid w:val="00E26ED1"/>
    <w:rsid w:val="00E271A4"/>
    <w:rsid w:val="00E27226"/>
    <w:rsid w:val="00E27745"/>
    <w:rsid w:val="00E278B0"/>
    <w:rsid w:val="00E27979"/>
    <w:rsid w:val="00E27991"/>
    <w:rsid w:val="00E27D8B"/>
    <w:rsid w:val="00E27E1C"/>
    <w:rsid w:val="00E27FB1"/>
    <w:rsid w:val="00E27FEE"/>
    <w:rsid w:val="00E3049E"/>
    <w:rsid w:val="00E305F8"/>
    <w:rsid w:val="00E30698"/>
    <w:rsid w:val="00E308B2"/>
    <w:rsid w:val="00E3092E"/>
    <w:rsid w:val="00E30BDE"/>
    <w:rsid w:val="00E312F9"/>
    <w:rsid w:val="00E3152A"/>
    <w:rsid w:val="00E315B4"/>
    <w:rsid w:val="00E3160E"/>
    <w:rsid w:val="00E316FC"/>
    <w:rsid w:val="00E31E37"/>
    <w:rsid w:val="00E31FB8"/>
    <w:rsid w:val="00E3207E"/>
    <w:rsid w:val="00E3220E"/>
    <w:rsid w:val="00E32777"/>
    <w:rsid w:val="00E32D1F"/>
    <w:rsid w:val="00E32E76"/>
    <w:rsid w:val="00E33066"/>
    <w:rsid w:val="00E3328C"/>
    <w:rsid w:val="00E33380"/>
    <w:rsid w:val="00E3343B"/>
    <w:rsid w:val="00E33572"/>
    <w:rsid w:val="00E336D8"/>
    <w:rsid w:val="00E33DBB"/>
    <w:rsid w:val="00E33F24"/>
    <w:rsid w:val="00E344AB"/>
    <w:rsid w:val="00E347DD"/>
    <w:rsid w:val="00E3487D"/>
    <w:rsid w:val="00E34952"/>
    <w:rsid w:val="00E34B23"/>
    <w:rsid w:val="00E34CDB"/>
    <w:rsid w:val="00E3523C"/>
    <w:rsid w:val="00E3534C"/>
    <w:rsid w:val="00E358C8"/>
    <w:rsid w:val="00E35D01"/>
    <w:rsid w:val="00E3608B"/>
    <w:rsid w:val="00E360C6"/>
    <w:rsid w:val="00E36115"/>
    <w:rsid w:val="00E362A8"/>
    <w:rsid w:val="00E3636D"/>
    <w:rsid w:val="00E36581"/>
    <w:rsid w:val="00E367E1"/>
    <w:rsid w:val="00E36922"/>
    <w:rsid w:val="00E369BC"/>
    <w:rsid w:val="00E36AFF"/>
    <w:rsid w:val="00E36B0E"/>
    <w:rsid w:val="00E36BC9"/>
    <w:rsid w:val="00E37271"/>
    <w:rsid w:val="00E373AA"/>
    <w:rsid w:val="00E3746B"/>
    <w:rsid w:val="00E37AD9"/>
    <w:rsid w:val="00E37F4E"/>
    <w:rsid w:val="00E40115"/>
    <w:rsid w:val="00E4069D"/>
    <w:rsid w:val="00E406B4"/>
    <w:rsid w:val="00E406C4"/>
    <w:rsid w:val="00E40A9F"/>
    <w:rsid w:val="00E40DE7"/>
    <w:rsid w:val="00E41226"/>
    <w:rsid w:val="00E41530"/>
    <w:rsid w:val="00E416F4"/>
    <w:rsid w:val="00E41777"/>
    <w:rsid w:val="00E4177C"/>
    <w:rsid w:val="00E419CB"/>
    <w:rsid w:val="00E41EDC"/>
    <w:rsid w:val="00E420EE"/>
    <w:rsid w:val="00E42258"/>
    <w:rsid w:val="00E42307"/>
    <w:rsid w:val="00E424D3"/>
    <w:rsid w:val="00E42575"/>
    <w:rsid w:val="00E42B51"/>
    <w:rsid w:val="00E42D4E"/>
    <w:rsid w:val="00E4317E"/>
    <w:rsid w:val="00E4328C"/>
    <w:rsid w:val="00E434B2"/>
    <w:rsid w:val="00E43716"/>
    <w:rsid w:val="00E43B14"/>
    <w:rsid w:val="00E43B6D"/>
    <w:rsid w:val="00E43C70"/>
    <w:rsid w:val="00E43F47"/>
    <w:rsid w:val="00E4404B"/>
    <w:rsid w:val="00E44189"/>
    <w:rsid w:val="00E4421E"/>
    <w:rsid w:val="00E44394"/>
    <w:rsid w:val="00E4484B"/>
    <w:rsid w:val="00E44CFD"/>
    <w:rsid w:val="00E44DFF"/>
    <w:rsid w:val="00E44EF6"/>
    <w:rsid w:val="00E45413"/>
    <w:rsid w:val="00E455F6"/>
    <w:rsid w:val="00E455F7"/>
    <w:rsid w:val="00E456C6"/>
    <w:rsid w:val="00E45B86"/>
    <w:rsid w:val="00E45DD4"/>
    <w:rsid w:val="00E45DEA"/>
    <w:rsid w:val="00E45F09"/>
    <w:rsid w:val="00E462F8"/>
    <w:rsid w:val="00E467A7"/>
    <w:rsid w:val="00E467C2"/>
    <w:rsid w:val="00E46A10"/>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B6F"/>
    <w:rsid w:val="00E51CA0"/>
    <w:rsid w:val="00E52371"/>
    <w:rsid w:val="00E52437"/>
    <w:rsid w:val="00E5257A"/>
    <w:rsid w:val="00E5284E"/>
    <w:rsid w:val="00E52926"/>
    <w:rsid w:val="00E52CC2"/>
    <w:rsid w:val="00E531CB"/>
    <w:rsid w:val="00E53558"/>
    <w:rsid w:val="00E538A7"/>
    <w:rsid w:val="00E53BF4"/>
    <w:rsid w:val="00E53E8F"/>
    <w:rsid w:val="00E54250"/>
    <w:rsid w:val="00E5444C"/>
    <w:rsid w:val="00E54A55"/>
    <w:rsid w:val="00E54D0D"/>
    <w:rsid w:val="00E54DA7"/>
    <w:rsid w:val="00E553C1"/>
    <w:rsid w:val="00E5551B"/>
    <w:rsid w:val="00E557BF"/>
    <w:rsid w:val="00E557DE"/>
    <w:rsid w:val="00E5580B"/>
    <w:rsid w:val="00E559BA"/>
    <w:rsid w:val="00E55A0F"/>
    <w:rsid w:val="00E55A5E"/>
    <w:rsid w:val="00E55ADC"/>
    <w:rsid w:val="00E55CDE"/>
    <w:rsid w:val="00E55D20"/>
    <w:rsid w:val="00E56058"/>
    <w:rsid w:val="00E56248"/>
    <w:rsid w:val="00E5625E"/>
    <w:rsid w:val="00E563A2"/>
    <w:rsid w:val="00E56D46"/>
    <w:rsid w:val="00E57229"/>
    <w:rsid w:val="00E57412"/>
    <w:rsid w:val="00E579B8"/>
    <w:rsid w:val="00E57A02"/>
    <w:rsid w:val="00E57B89"/>
    <w:rsid w:val="00E57D7D"/>
    <w:rsid w:val="00E57F34"/>
    <w:rsid w:val="00E60207"/>
    <w:rsid w:val="00E6031E"/>
    <w:rsid w:val="00E603C0"/>
    <w:rsid w:val="00E6040B"/>
    <w:rsid w:val="00E606D6"/>
    <w:rsid w:val="00E60A29"/>
    <w:rsid w:val="00E60C57"/>
    <w:rsid w:val="00E612BE"/>
    <w:rsid w:val="00E61A48"/>
    <w:rsid w:val="00E61BEA"/>
    <w:rsid w:val="00E620F8"/>
    <w:rsid w:val="00E62546"/>
    <w:rsid w:val="00E629A5"/>
    <w:rsid w:val="00E62C4B"/>
    <w:rsid w:val="00E62D5C"/>
    <w:rsid w:val="00E63114"/>
    <w:rsid w:val="00E6314F"/>
    <w:rsid w:val="00E6333A"/>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0E"/>
    <w:rsid w:val="00E67EAA"/>
    <w:rsid w:val="00E67FDC"/>
    <w:rsid w:val="00E701E1"/>
    <w:rsid w:val="00E70248"/>
    <w:rsid w:val="00E702EF"/>
    <w:rsid w:val="00E7078E"/>
    <w:rsid w:val="00E707CD"/>
    <w:rsid w:val="00E709D2"/>
    <w:rsid w:val="00E70CF4"/>
    <w:rsid w:val="00E715AF"/>
    <w:rsid w:val="00E7166A"/>
    <w:rsid w:val="00E71758"/>
    <w:rsid w:val="00E71AC2"/>
    <w:rsid w:val="00E71D76"/>
    <w:rsid w:val="00E71E95"/>
    <w:rsid w:val="00E726AE"/>
    <w:rsid w:val="00E72711"/>
    <w:rsid w:val="00E72AF5"/>
    <w:rsid w:val="00E731D2"/>
    <w:rsid w:val="00E73326"/>
    <w:rsid w:val="00E735A6"/>
    <w:rsid w:val="00E736D2"/>
    <w:rsid w:val="00E73B92"/>
    <w:rsid w:val="00E73E2E"/>
    <w:rsid w:val="00E74060"/>
    <w:rsid w:val="00E7406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77D1E"/>
    <w:rsid w:val="00E80545"/>
    <w:rsid w:val="00E80845"/>
    <w:rsid w:val="00E80849"/>
    <w:rsid w:val="00E80E75"/>
    <w:rsid w:val="00E80EAB"/>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1DD"/>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D48"/>
    <w:rsid w:val="00E96DD6"/>
    <w:rsid w:val="00E96F5A"/>
    <w:rsid w:val="00E97501"/>
    <w:rsid w:val="00E9750D"/>
    <w:rsid w:val="00E977B1"/>
    <w:rsid w:val="00EA011F"/>
    <w:rsid w:val="00EA05D9"/>
    <w:rsid w:val="00EA0B8D"/>
    <w:rsid w:val="00EA0BA1"/>
    <w:rsid w:val="00EA0BF5"/>
    <w:rsid w:val="00EA0CF2"/>
    <w:rsid w:val="00EA21F3"/>
    <w:rsid w:val="00EA2245"/>
    <w:rsid w:val="00EA2AF6"/>
    <w:rsid w:val="00EA2C59"/>
    <w:rsid w:val="00EA2E89"/>
    <w:rsid w:val="00EA3054"/>
    <w:rsid w:val="00EA3222"/>
    <w:rsid w:val="00EA3697"/>
    <w:rsid w:val="00EA37DE"/>
    <w:rsid w:val="00EA3A26"/>
    <w:rsid w:val="00EA3A67"/>
    <w:rsid w:val="00EA3E7C"/>
    <w:rsid w:val="00EA3EA8"/>
    <w:rsid w:val="00EA4137"/>
    <w:rsid w:val="00EA4210"/>
    <w:rsid w:val="00EA441D"/>
    <w:rsid w:val="00EA47D4"/>
    <w:rsid w:val="00EA48FB"/>
    <w:rsid w:val="00EA4AB7"/>
    <w:rsid w:val="00EA4C31"/>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4F"/>
    <w:rsid w:val="00EA7F73"/>
    <w:rsid w:val="00EB0095"/>
    <w:rsid w:val="00EB074C"/>
    <w:rsid w:val="00EB0798"/>
    <w:rsid w:val="00EB08CA"/>
    <w:rsid w:val="00EB08FE"/>
    <w:rsid w:val="00EB0AA6"/>
    <w:rsid w:val="00EB0E5D"/>
    <w:rsid w:val="00EB0FC2"/>
    <w:rsid w:val="00EB11AB"/>
    <w:rsid w:val="00EB1257"/>
    <w:rsid w:val="00EB1440"/>
    <w:rsid w:val="00EB147B"/>
    <w:rsid w:val="00EB15C3"/>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27C"/>
    <w:rsid w:val="00EB3507"/>
    <w:rsid w:val="00EB39CA"/>
    <w:rsid w:val="00EB3BA6"/>
    <w:rsid w:val="00EB3C3E"/>
    <w:rsid w:val="00EB4088"/>
    <w:rsid w:val="00EB40EB"/>
    <w:rsid w:val="00EB4B24"/>
    <w:rsid w:val="00EB4BB7"/>
    <w:rsid w:val="00EB4E81"/>
    <w:rsid w:val="00EB4EDF"/>
    <w:rsid w:val="00EB500A"/>
    <w:rsid w:val="00EB5210"/>
    <w:rsid w:val="00EB5407"/>
    <w:rsid w:val="00EB5606"/>
    <w:rsid w:val="00EB5791"/>
    <w:rsid w:val="00EB5DAB"/>
    <w:rsid w:val="00EB5DC8"/>
    <w:rsid w:val="00EB5E60"/>
    <w:rsid w:val="00EB5FD7"/>
    <w:rsid w:val="00EB6080"/>
    <w:rsid w:val="00EB63D7"/>
    <w:rsid w:val="00EB7226"/>
    <w:rsid w:val="00EB7510"/>
    <w:rsid w:val="00EB75CE"/>
    <w:rsid w:val="00EB7698"/>
    <w:rsid w:val="00EB7B76"/>
    <w:rsid w:val="00EB7EE0"/>
    <w:rsid w:val="00EB7F36"/>
    <w:rsid w:val="00EB7F69"/>
    <w:rsid w:val="00EC004D"/>
    <w:rsid w:val="00EC0262"/>
    <w:rsid w:val="00EC03E2"/>
    <w:rsid w:val="00EC0449"/>
    <w:rsid w:val="00EC04D4"/>
    <w:rsid w:val="00EC04FB"/>
    <w:rsid w:val="00EC09FE"/>
    <w:rsid w:val="00EC0A5F"/>
    <w:rsid w:val="00EC0BC8"/>
    <w:rsid w:val="00EC10DE"/>
    <w:rsid w:val="00EC127A"/>
    <w:rsid w:val="00EC1518"/>
    <w:rsid w:val="00EC1D18"/>
    <w:rsid w:val="00EC1DE4"/>
    <w:rsid w:val="00EC1E02"/>
    <w:rsid w:val="00EC1FE4"/>
    <w:rsid w:val="00EC2093"/>
    <w:rsid w:val="00EC22DE"/>
    <w:rsid w:val="00EC2CA4"/>
    <w:rsid w:val="00EC2D4C"/>
    <w:rsid w:val="00EC355F"/>
    <w:rsid w:val="00EC360F"/>
    <w:rsid w:val="00EC3767"/>
    <w:rsid w:val="00EC3F4A"/>
    <w:rsid w:val="00EC3F79"/>
    <w:rsid w:val="00EC4561"/>
    <w:rsid w:val="00EC459E"/>
    <w:rsid w:val="00EC4A83"/>
    <w:rsid w:val="00EC4EDA"/>
    <w:rsid w:val="00EC52F0"/>
    <w:rsid w:val="00EC5E46"/>
    <w:rsid w:val="00EC6012"/>
    <w:rsid w:val="00EC6154"/>
    <w:rsid w:val="00EC6328"/>
    <w:rsid w:val="00EC64D7"/>
    <w:rsid w:val="00EC67C2"/>
    <w:rsid w:val="00EC69C2"/>
    <w:rsid w:val="00EC6A79"/>
    <w:rsid w:val="00EC743F"/>
    <w:rsid w:val="00ED0011"/>
    <w:rsid w:val="00ED00C1"/>
    <w:rsid w:val="00ED041F"/>
    <w:rsid w:val="00ED072E"/>
    <w:rsid w:val="00ED154C"/>
    <w:rsid w:val="00ED1646"/>
    <w:rsid w:val="00ED1A38"/>
    <w:rsid w:val="00ED1AC6"/>
    <w:rsid w:val="00ED1B37"/>
    <w:rsid w:val="00ED2074"/>
    <w:rsid w:val="00ED222D"/>
    <w:rsid w:val="00ED2BBF"/>
    <w:rsid w:val="00ED2E39"/>
    <w:rsid w:val="00ED2F21"/>
    <w:rsid w:val="00ED31F1"/>
    <w:rsid w:val="00ED3551"/>
    <w:rsid w:val="00ED36E1"/>
    <w:rsid w:val="00ED374C"/>
    <w:rsid w:val="00ED3917"/>
    <w:rsid w:val="00ED395D"/>
    <w:rsid w:val="00ED3C19"/>
    <w:rsid w:val="00ED42F0"/>
    <w:rsid w:val="00ED47D6"/>
    <w:rsid w:val="00ED49D1"/>
    <w:rsid w:val="00ED4D49"/>
    <w:rsid w:val="00ED521B"/>
    <w:rsid w:val="00ED5485"/>
    <w:rsid w:val="00ED5513"/>
    <w:rsid w:val="00ED57D3"/>
    <w:rsid w:val="00ED58A3"/>
    <w:rsid w:val="00ED5A37"/>
    <w:rsid w:val="00ED67B9"/>
    <w:rsid w:val="00ED6878"/>
    <w:rsid w:val="00ED68FD"/>
    <w:rsid w:val="00ED6950"/>
    <w:rsid w:val="00ED6A55"/>
    <w:rsid w:val="00ED6BD5"/>
    <w:rsid w:val="00ED6E48"/>
    <w:rsid w:val="00ED6FBD"/>
    <w:rsid w:val="00ED7026"/>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186D"/>
    <w:rsid w:val="00EE21F6"/>
    <w:rsid w:val="00EE23B8"/>
    <w:rsid w:val="00EE23F4"/>
    <w:rsid w:val="00EE2EBB"/>
    <w:rsid w:val="00EE2F3B"/>
    <w:rsid w:val="00EE338D"/>
    <w:rsid w:val="00EE397B"/>
    <w:rsid w:val="00EE3FB9"/>
    <w:rsid w:val="00EE4197"/>
    <w:rsid w:val="00EE41C0"/>
    <w:rsid w:val="00EE47BC"/>
    <w:rsid w:val="00EE499E"/>
    <w:rsid w:val="00EE4E14"/>
    <w:rsid w:val="00EE50FA"/>
    <w:rsid w:val="00EE5194"/>
    <w:rsid w:val="00EE5286"/>
    <w:rsid w:val="00EE52C3"/>
    <w:rsid w:val="00EE5AE7"/>
    <w:rsid w:val="00EE5E6D"/>
    <w:rsid w:val="00EE5FD6"/>
    <w:rsid w:val="00EE617B"/>
    <w:rsid w:val="00EE61AE"/>
    <w:rsid w:val="00EE62FB"/>
    <w:rsid w:val="00EE64CF"/>
    <w:rsid w:val="00EE6A39"/>
    <w:rsid w:val="00EE6C46"/>
    <w:rsid w:val="00EE6FCD"/>
    <w:rsid w:val="00EE73E7"/>
    <w:rsid w:val="00EE74B4"/>
    <w:rsid w:val="00EE7894"/>
    <w:rsid w:val="00EE7ED4"/>
    <w:rsid w:val="00EF0424"/>
    <w:rsid w:val="00EF05AC"/>
    <w:rsid w:val="00EF074A"/>
    <w:rsid w:val="00EF088E"/>
    <w:rsid w:val="00EF1102"/>
    <w:rsid w:val="00EF1801"/>
    <w:rsid w:val="00EF2309"/>
    <w:rsid w:val="00EF2368"/>
    <w:rsid w:val="00EF2A35"/>
    <w:rsid w:val="00EF3344"/>
    <w:rsid w:val="00EF3B7B"/>
    <w:rsid w:val="00EF3C5D"/>
    <w:rsid w:val="00EF3F5E"/>
    <w:rsid w:val="00EF466D"/>
    <w:rsid w:val="00EF4857"/>
    <w:rsid w:val="00EF491C"/>
    <w:rsid w:val="00EF4AB0"/>
    <w:rsid w:val="00EF4CB3"/>
    <w:rsid w:val="00EF50CC"/>
    <w:rsid w:val="00EF59B5"/>
    <w:rsid w:val="00EF5C42"/>
    <w:rsid w:val="00EF5DD5"/>
    <w:rsid w:val="00EF62DB"/>
    <w:rsid w:val="00EF62EE"/>
    <w:rsid w:val="00EF66B9"/>
    <w:rsid w:val="00EF6748"/>
    <w:rsid w:val="00EF67B6"/>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897"/>
    <w:rsid w:val="00F01BAF"/>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289"/>
    <w:rsid w:val="00F05602"/>
    <w:rsid w:val="00F05D4A"/>
    <w:rsid w:val="00F05DA2"/>
    <w:rsid w:val="00F06215"/>
    <w:rsid w:val="00F06DEE"/>
    <w:rsid w:val="00F06EB4"/>
    <w:rsid w:val="00F06F62"/>
    <w:rsid w:val="00F070B3"/>
    <w:rsid w:val="00F0762F"/>
    <w:rsid w:val="00F079C1"/>
    <w:rsid w:val="00F07B72"/>
    <w:rsid w:val="00F07BE5"/>
    <w:rsid w:val="00F07FFE"/>
    <w:rsid w:val="00F10331"/>
    <w:rsid w:val="00F10602"/>
    <w:rsid w:val="00F1066F"/>
    <w:rsid w:val="00F10A54"/>
    <w:rsid w:val="00F10CA3"/>
    <w:rsid w:val="00F10D12"/>
    <w:rsid w:val="00F114F5"/>
    <w:rsid w:val="00F11640"/>
    <w:rsid w:val="00F1175A"/>
    <w:rsid w:val="00F11971"/>
    <w:rsid w:val="00F11AAF"/>
    <w:rsid w:val="00F11C50"/>
    <w:rsid w:val="00F121C9"/>
    <w:rsid w:val="00F12223"/>
    <w:rsid w:val="00F12B69"/>
    <w:rsid w:val="00F133F5"/>
    <w:rsid w:val="00F13769"/>
    <w:rsid w:val="00F1388D"/>
    <w:rsid w:val="00F13A68"/>
    <w:rsid w:val="00F13B6E"/>
    <w:rsid w:val="00F13E5E"/>
    <w:rsid w:val="00F13E8A"/>
    <w:rsid w:val="00F13F1D"/>
    <w:rsid w:val="00F13FA6"/>
    <w:rsid w:val="00F13FC2"/>
    <w:rsid w:val="00F1408F"/>
    <w:rsid w:val="00F142FA"/>
    <w:rsid w:val="00F1475D"/>
    <w:rsid w:val="00F14C14"/>
    <w:rsid w:val="00F14F49"/>
    <w:rsid w:val="00F14FDB"/>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950"/>
    <w:rsid w:val="00F20D32"/>
    <w:rsid w:val="00F20DFC"/>
    <w:rsid w:val="00F21424"/>
    <w:rsid w:val="00F220FF"/>
    <w:rsid w:val="00F222D8"/>
    <w:rsid w:val="00F225F4"/>
    <w:rsid w:val="00F22751"/>
    <w:rsid w:val="00F22B01"/>
    <w:rsid w:val="00F22B43"/>
    <w:rsid w:val="00F23638"/>
    <w:rsid w:val="00F238D1"/>
    <w:rsid w:val="00F238E4"/>
    <w:rsid w:val="00F23DCB"/>
    <w:rsid w:val="00F23F63"/>
    <w:rsid w:val="00F23FBC"/>
    <w:rsid w:val="00F2432E"/>
    <w:rsid w:val="00F243CB"/>
    <w:rsid w:val="00F24413"/>
    <w:rsid w:val="00F244E8"/>
    <w:rsid w:val="00F249E2"/>
    <w:rsid w:val="00F24AE0"/>
    <w:rsid w:val="00F24C75"/>
    <w:rsid w:val="00F24FE4"/>
    <w:rsid w:val="00F2526D"/>
    <w:rsid w:val="00F25758"/>
    <w:rsid w:val="00F258ED"/>
    <w:rsid w:val="00F25B14"/>
    <w:rsid w:val="00F25D53"/>
    <w:rsid w:val="00F262C5"/>
    <w:rsid w:val="00F26494"/>
    <w:rsid w:val="00F26663"/>
    <w:rsid w:val="00F268FB"/>
    <w:rsid w:val="00F2696F"/>
    <w:rsid w:val="00F26B67"/>
    <w:rsid w:val="00F26CE3"/>
    <w:rsid w:val="00F26F3C"/>
    <w:rsid w:val="00F26F68"/>
    <w:rsid w:val="00F26FAC"/>
    <w:rsid w:val="00F27284"/>
    <w:rsid w:val="00F27598"/>
    <w:rsid w:val="00F275A2"/>
    <w:rsid w:val="00F27A45"/>
    <w:rsid w:val="00F27F1F"/>
    <w:rsid w:val="00F27F93"/>
    <w:rsid w:val="00F301B9"/>
    <w:rsid w:val="00F302B7"/>
    <w:rsid w:val="00F302D0"/>
    <w:rsid w:val="00F30389"/>
    <w:rsid w:val="00F30957"/>
    <w:rsid w:val="00F30CC3"/>
    <w:rsid w:val="00F30D82"/>
    <w:rsid w:val="00F3125B"/>
    <w:rsid w:val="00F31281"/>
    <w:rsid w:val="00F312CE"/>
    <w:rsid w:val="00F31445"/>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A82"/>
    <w:rsid w:val="00F35CDF"/>
    <w:rsid w:val="00F35CEF"/>
    <w:rsid w:val="00F35EDD"/>
    <w:rsid w:val="00F35F43"/>
    <w:rsid w:val="00F36029"/>
    <w:rsid w:val="00F36167"/>
    <w:rsid w:val="00F362A9"/>
    <w:rsid w:val="00F363CF"/>
    <w:rsid w:val="00F36493"/>
    <w:rsid w:val="00F3658B"/>
    <w:rsid w:val="00F365E5"/>
    <w:rsid w:val="00F3672E"/>
    <w:rsid w:val="00F36C33"/>
    <w:rsid w:val="00F36CD2"/>
    <w:rsid w:val="00F37048"/>
    <w:rsid w:val="00F372AB"/>
    <w:rsid w:val="00F374C2"/>
    <w:rsid w:val="00F377F1"/>
    <w:rsid w:val="00F37807"/>
    <w:rsid w:val="00F379B0"/>
    <w:rsid w:val="00F37E10"/>
    <w:rsid w:val="00F40274"/>
    <w:rsid w:val="00F40367"/>
    <w:rsid w:val="00F4076A"/>
    <w:rsid w:val="00F40BA1"/>
    <w:rsid w:val="00F41004"/>
    <w:rsid w:val="00F4124C"/>
    <w:rsid w:val="00F4169D"/>
    <w:rsid w:val="00F41AEF"/>
    <w:rsid w:val="00F41B61"/>
    <w:rsid w:val="00F41D58"/>
    <w:rsid w:val="00F41DC2"/>
    <w:rsid w:val="00F41DEC"/>
    <w:rsid w:val="00F425EB"/>
    <w:rsid w:val="00F42DEA"/>
    <w:rsid w:val="00F43051"/>
    <w:rsid w:val="00F430C1"/>
    <w:rsid w:val="00F43AC7"/>
    <w:rsid w:val="00F444AB"/>
    <w:rsid w:val="00F44941"/>
    <w:rsid w:val="00F44C75"/>
    <w:rsid w:val="00F4508A"/>
    <w:rsid w:val="00F4509E"/>
    <w:rsid w:val="00F45860"/>
    <w:rsid w:val="00F45D7C"/>
    <w:rsid w:val="00F46229"/>
    <w:rsid w:val="00F46969"/>
    <w:rsid w:val="00F46A21"/>
    <w:rsid w:val="00F46D06"/>
    <w:rsid w:val="00F46E0C"/>
    <w:rsid w:val="00F46F43"/>
    <w:rsid w:val="00F46F62"/>
    <w:rsid w:val="00F47741"/>
    <w:rsid w:val="00F47DA1"/>
    <w:rsid w:val="00F509E1"/>
    <w:rsid w:val="00F50A2D"/>
    <w:rsid w:val="00F50AF6"/>
    <w:rsid w:val="00F50BD1"/>
    <w:rsid w:val="00F50D7C"/>
    <w:rsid w:val="00F50EE6"/>
    <w:rsid w:val="00F50F25"/>
    <w:rsid w:val="00F510F5"/>
    <w:rsid w:val="00F5164A"/>
    <w:rsid w:val="00F5207C"/>
    <w:rsid w:val="00F52780"/>
    <w:rsid w:val="00F52981"/>
    <w:rsid w:val="00F529CF"/>
    <w:rsid w:val="00F52A19"/>
    <w:rsid w:val="00F52D6C"/>
    <w:rsid w:val="00F5378C"/>
    <w:rsid w:val="00F53EBC"/>
    <w:rsid w:val="00F540B2"/>
    <w:rsid w:val="00F54215"/>
    <w:rsid w:val="00F542F6"/>
    <w:rsid w:val="00F5435D"/>
    <w:rsid w:val="00F543DA"/>
    <w:rsid w:val="00F545B9"/>
    <w:rsid w:val="00F5475F"/>
    <w:rsid w:val="00F547EF"/>
    <w:rsid w:val="00F54853"/>
    <w:rsid w:val="00F5491C"/>
    <w:rsid w:val="00F54AAC"/>
    <w:rsid w:val="00F54ACE"/>
    <w:rsid w:val="00F55060"/>
    <w:rsid w:val="00F55138"/>
    <w:rsid w:val="00F5535A"/>
    <w:rsid w:val="00F5540B"/>
    <w:rsid w:val="00F55517"/>
    <w:rsid w:val="00F55E88"/>
    <w:rsid w:val="00F5608C"/>
    <w:rsid w:val="00F5630B"/>
    <w:rsid w:val="00F56A2B"/>
    <w:rsid w:val="00F56A75"/>
    <w:rsid w:val="00F56E18"/>
    <w:rsid w:val="00F57278"/>
    <w:rsid w:val="00F57557"/>
    <w:rsid w:val="00F57705"/>
    <w:rsid w:val="00F57710"/>
    <w:rsid w:val="00F57A33"/>
    <w:rsid w:val="00F602A6"/>
    <w:rsid w:val="00F6047F"/>
    <w:rsid w:val="00F60708"/>
    <w:rsid w:val="00F607AC"/>
    <w:rsid w:val="00F6088F"/>
    <w:rsid w:val="00F608A5"/>
    <w:rsid w:val="00F610F9"/>
    <w:rsid w:val="00F611A6"/>
    <w:rsid w:val="00F611FD"/>
    <w:rsid w:val="00F61296"/>
    <w:rsid w:val="00F6187D"/>
    <w:rsid w:val="00F62013"/>
    <w:rsid w:val="00F6239C"/>
    <w:rsid w:val="00F6262B"/>
    <w:rsid w:val="00F6289B"/>
    <w:rsid w:val="00F62A38"/>
    <w:rsid w:val="00F62C2F"/>
    <w:rsid w:val="00F62D81"/>
    <w:rsid w:val="00F6310F"/>
    <w:rsid w:val="00F63405"/>
    <w:rsid w:val="00F636CB"/>
    <w:rsid w:val="00F637DB"/>
    <w:rsid w:val="00F63BB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6FC8"/>
    <w:rsid w:val="00F6720F"/>
    <w:rsid w:val="00F67285"/>
    <w:rsid w:val="00F67659"/>
    <w:rsid w:val="00F6794F"/>
    <w:rsid w:val="00F702A8"/>
    <w:rsid w:val="00F702E3"/>
    <w:rsid w:val="00F70414"/>
    <w:rsid w:val="00F70490"/>
    <w:rsid w:val="00F705B7"/>
    <w:rsid w:val="00F705C8"/>
    <w:rsid w:val="00F707F4"/>
    <w:rsid w:val="00F709CE"/>
    <w:rsid w:val="00F70ACB"/>
    <w:rsid w:val="00F70B4F"/>
    <w:rsid w:val="00F710C7"/>
    <w:rsid w:val="00F712A5"/>
    <w:rsid w:val="00F718C6"/>
    <w:rsid w:val="00F71A72"/>
    <w:rsid w:val="00F71AFB"/>
    <w:rsid w:val="00F71FC4"/>
    <w:rsid w:val="00F720C2"/>
    <w:rsid w:val="00F7241D"/>
    <w:rsid w:val="00F72E48"/>
    <w:rsid w:val="00F733F0"/>
    <w:rsid w:val="00F7350E"/>
    <w:rsid w:val="00F73774"/>
    <w:rsid w:val="00F73C69"/>
    <w:rsid w:val="00F74143"/>
    <w:rsid w:val="00F742A6"/>
    <w:rsid w:val="00F74A13"/>
    <w:rsid w:val="00F74A88"/>
    <w:rsid w:val="00F74F22"/>
    <w:rsid w:val="00F74F48"/>
    <w:rsid w:val="00F7509D"/>
    <w:rsid w:val="00F7556F"/>
    <w:rsid w:val="00F75824"/>
    <w:rsid w:val="00F75B2B"/>
    <w:rsid w:val="00F75BA6"/>
    <w:rsid w:val="00F75CBC"/>
    <w:rsid w:val="00F760CE"/>
    <w:rsid w:val="00F76163"/>
    <w:rsid w:val="00F761DA"/>
    <w:rsid w:val="00F76696"/>
    <w:rsid w:val="00F7673E"/>
    <w:rsid w:val="00F76920"/>
    <w:rsid w:val="00F77762"/>
    <w:rsid w:val="00F77CC4"/>
    <w:rsid w:val="00F807C3"/>
    <w:rsid w:val="00F8087A"/>
    <w:rsid w:val="00F80EF9"/>
    <w:rsid w:val="00F81193"/>
    <w:rsid w:val="00F816F1"/>
    <w:rsid w:val="00F817D5"/>
    <w:rsid w:val="00F81937"/>
    <w:rsid w:val="00F81CD9"/>
    <w:rsid w:val="00F81EB4"/>
    <w:rsid w:val="00F81F7E"/>
    <w:rsid w:val="00F82379"/>
    <w:rsid w:val="00F826FB"/>
    <w:rsid w:val="00F829C4"/>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95A"/>
    <w:rsid w:val="00F84CE7"/>
    <w:rsid w:val="00F8502F"/>
    <w:rsid w:val="00F850F7"/>
    <w:rsid w:val="00F85331"/>
    <w:rsid w:val="00F85420"/>
    <w:rsid w:val="00F8553E"/>
    <w:rsid w:val="00F85637"/>
    <w:rsid w:val="00F856B1"/>
    <w:rsid w:val="00F85855"/>
    <w:rsid w:val="00F85A8A"/>
    <w:rsid w:val="00F85ED6"/>
    <w:rsid w:val="00F85F3C"/>
    <w:rsid w:val="00F861A5"/>
    <w:rsid w:val="00F8719E"/>
    <w:rsid w:val="00F875AD"/>
    <w:rsid w:val="00F87674"/>
    <w:rsid w:val="00F87B6B"/>
    <w:rsid w:val="00F87D96"/>
    <w:rsid w:val="00F87F7F"/>
    <w:rsid w:val="00F90178"/>
    <w:rsid w:val="00F90223"/>
    <w:rsid w:val="00F90471"/>
    <w:rsid w:val="00F90810"/>
    <w:rsid w:val="00F9091B"/>
    <w:rsid w:val="00F909A9"/>
    <w:rsid w:val="00F90F7C"/>
    <w:rsid w:val="00F91077"/>
    <w:rsid w:val="00F91394"/>
    <w:rsid w:val="00F916D3"/>
    <w:rsid w:val="00F91AB8"/>
    <w:rsid w:val="00F920BF"/>
    <w:rsid w:val="00F922E1"/>
    <w:rsid w:val="00F9246C"/>
    <w:rsid w:val="00F925B8"/>
    <w:rsid w:val="00F92621"/>
    <w:rsid w:val="00F92C36"/>
    <w:rsid w:val="00F9305F"/>
    <w:rsid w:val="00F9306F"/>
    <w:rsid w:val="00F930E0"/>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F0"/>
    <w:rsid w:val="00F9579B"/>
    <w:rsid w:val="00F95CC3"/>
    <w:rsid w:val="00F95E82"/>
    <w:rsid w:val="00F95FD6"/>
    <w:rsid w:val="00F963FF"/>
    <w:rsid w:val="00F96610"/>
    <w:rsid w:val="00F9664A"/>
    <w:rsid w:val="00F9692F"/>
    <w:rsid w:val="00F976F0"/>
    <w:rsid w:val="00F97701"/>
    <w:rsid w:val="00F97739"/>
    <w:rsid w:val="00F9796F"/>
    <w:rsid w:val="00F97CF2"/>
    <w:rsid w:val="00FA00F5"/>
    <w:rsid w:val="00FA01F6"/>
    <w:rsid w:val="00FA0367"/>
    <w:rsid w:val="00FA0516"/>
    <w:rsid w:val="00FA07AA"/>
    <w:rsid w:val="00FA0946"/>
    <w:rsid w:val="00FA09DE"/>
    <w:rsid w:val="00FA0A14"/>
    <w:rsid w:val="00FA0DE3"/>
    <w:rsid w:val="00FA0E92"/>
    <w:rsid w:val="00FA0FE2"/>
    <w:rsid w:val="00FA1284"/>
    <w:rsid w:val="00FA12D1"/>
    <w:rsid w:val="00FA159C"/>
    <w:rsid w:val="00FA1712"/>
    <w:rsid w:val="00FA24A6"/>
    <w:rsid w:val="00FA259C"/>
    <w:rsid w:val="00FA29FA"/>
    <w:rsid w:val="00FA319B"/>
    <w:rsid w:val="00FA34BD"/>
    <w:rsid w:val="00FA35ED"/>
    <w:rsid w:val="00FA36BF"/>
    <w:rsid w:val="00FA3967"/>
    <w:rsid w:val="00FA39FC"/>
    <w:rsid w:val="00FA3AB3"/>
    <w:rsid w:val="00FA3AC0"/>
    <w:rsid w:val="00FA3B1B"/>
    <w:rsid w:val="00FA3BA3"/>
    <w:rsid w:val="00FA3DB4"/>
    <w:rsid w:val="00FA4019"/>
    <w:rsid w:val="00FA42A8"/>
    <w:rsid w:val="00FA4423"/>
    <w:rsid w:val="00FA4688"/>
    <w:rsid w:val="00FA4C86"/>
    <w:rsid w:val="00FA4DA6"/>
    <w:rsid w:val="00FA5002"/>
    <w:rsid w:val="00FA518B"/>
    <w:rsid w:val="00FA5193"/>
    <w:rsid w:val="00FA51BA"/>
    <w:rsid w:val="00FA5435"/>
    <w:rsid w:val="00FA57CA"/>
    <w:rsid w:val="00FA5A6C"/>
    <w:rsid w:val="00FA5F08"/>
    <w:rsid w:val="00FA6110"/>
    <w:rsid w:val="00FA629C"/>
    <w:rsid w:val="00FA6907"/>
    <w:rsid w:val="00FA6D7F"/>
    <w:rsid w:val="00FA6F68"/>
    <w:rsid w:val="00FA7202"/>
    <w:rsid w:val="00FA7353"/>
    <w:rsid w:val="00FA73E9"/>
    <w:rsid w:val="00FA7540"/>
    <w:rsid w:val="00FA7647"/>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C3"/>
    <w:rsid w:val="00FB2AF6"/>
    <w:rsid w:val="00FB2B39"/>
    <w:rsid w:val="00FB2EAB"/>
    <w:rsid w:val="00FB3175"/>
    <w:rsid w:val="00FB3924"/>
    <w:rsid w:val="00FB3A57"/>
    <w:rsid w:val="00FB3E85"/>
    <w:rsid w:val="00FB41D5"/>
    <w:rsid w:val="00FB42B5"/>
    <w:rsid w:val="00FB479A"/>
    <w:rsid w:val="00FB47EB"/>
    <w:rsid w:val="00FB492D"/>
    <w:rsid w:val="00FB4C1E"/>
    <w:rsid w:val="00FB4E79"/>
    <w:rsid w:val="00FB51DE"/>
    <w:rsid w:val="00FB5242"/>
    <w:rsid w:val="00FB52BA"/>
    <w:rsid w:val="00FB53B3"/>
    <w:rsid w:val="00FB57CB"/>
    <w:rsid w:val="00FB5FF3"/>
    <w:rsid w:val="00FB665E"/>
    <w:rsid w:val="00FB6AA6"/>
    <w:rsid w:val="00FB6BF3"/>
    <w:rsid w:val="00FB6C33"/>
    <w:rsid w:val="00FB6DB6"/>
    <w:rsid w:val="00FB6DEE"/>
    <w:rsid w:val="00FB76D7"/>
    <w:rsid w:val="00FC0368"/>
    <w:rsid w:val="00FC0521"/>
    <w:rsid w:val="00FC0C55"/>
    <w:rsid w:val="00FC0D8D"/>
    <w:rsid w:val="00FC10F1"/>
    <w:rsid w:val="00FC13FD"/>
    <w:rsid w:val="00FC1461"/>
    <w:rsid w:val="00FC16D8"/>
    <w:rsid w:val="00FC1721"/>
    <w:rsid w:val="00FC1E99"/>
    <w:rsid w:val="00FC21DD"/>
    <w:rsid w:val="00FC23B7"/>
    <w:rsid w:val="00FC25FC"/>
    <w:rsid w:val="00FC29AE"/>
    <w:rsid w:val="00FC2E66"/>
    <w:rsid w:val="00FC2F1F"/>
    <w:rsid w:val="00FC3031"/>
    <w:rsid w:val="00FC35D5"/>
    <w:rsid w:val="00FC37AD"/>
    <w:rsid w:val="00FC37ED"/>
    <w:rsid w:val="00FC38FD"/>
    <w:rsid w:val="00FC3DC1"/>
    <w:rsid w:val="00FC41E6"/>
    <w:rsid w:val="00FC4256"/>
    <w:rsid w:val="00FC429B"/>
    <w:rsid w:val="00FC460A"/>
    <w:rsid w:val="00FC4C12"/>
    <w:rsid w:val="00FC4F3B"/>
    <w:rsid w:val="00FC51CF"/>
    <w:rsid w:val="00FC5528"/>
    <w:rsid w:val="00FC57CC"/>
    <w:rsid w:val="00FC5B57"/>
    <w:rsid w:val="00FC5BC2"/>
    <w:rsid w:val="00FC5C24"/>
    <w:rsid w:val="00FC6023"/>
    <w:rsid w:val="00FC66AD"/>
    <w:rsid w:val="00FC6751"/>
    <w:rsid w:val="00FC685A"/>
    <w:rsid w:val="00FC6AD4"/>
    <w:rsid w:val="00FC6B64"/>
    <w:rsid w:val="00FC6D6E"/>
    <w:rsid w:val="00FC6E8F"/>
    <w:rsid w:val="00FC71EA"/>
    <w:rsid w:val="00FC7253"/>
    <w:rsid w:val="00FC732D"/>
    <w:rsid w:val="00FC7357"/>
    <w:rsid w:val="00FC77B6"/>
    <w:rsid w:val="00FC784C"/>
    <w:rsid w:val="00FC79C2"/>
    <w:rsid w:val="00FC7B0A"/>
    <w:rsid w:val="00FC7B6E"/>
    <w:rsid w:val="00FC7C62"/>
    <w:rsid w:val="00FD00A4"/>
    <w:rsid w:val="00FD00FF"/>
    <w:rsid w:val="00FD03BE"/>
    <w:rsid w:val="00FD0492"/>
    <w:rsid w:val="00FD0A16"/>
    <w:rsid w:val="00FD0A80"/>
    <w:rsid w:val="00FD0CAA"/>
    <w:rsid w:val="00FD0DAD"/>
    <w:rsid w:val="00FD0FAD"/>
    <w:rsid w:val="00FD109C"/>
    <w:rsid w:val="00FD1115"/>
    <w:rsid w:val="00FD115B"/>
    <w:rsid w:val="00FD1892"/>
    <w:rsid w:val="00FD1926"/>
    <w:rsid w:val="00FD197B"/>
    <w:rsid w:val="00FD1ADA"/>
    <w:rsid w:val="00FD1BFC"/>
    <w:rsid w:val="00FD1C96"/>
    <w:rsid w:val="00FD2115"/>
    <w:rsid w:val="00FD228C"/>
    <w:rsid w:val="00FD253B"/>
    <w:rsid w:val="00FD2C11"/>
    <w:rsid w:val="00FD2D8E"/>
    <w:rsid w:val="00FD341E"/>
    <w:rsid w:val="00FD352E"/>
    <w:rsid w:val="00FD36D7"/>
    <w:rsid w:val="00FD38CF"/>
    <w:rsid w:val="00FD4866"/>
    <w:rsid w:val="00FD49B4"/>
    <w:rsid w:val="00FD4D84"/>
    <w:rsid w:val="00FD51EF"/>
    <w:rsid w:val="00FD58DB"/>
    <w:rsid w:val="00FD5B09"/>
    <w:rsid w:val="00FD5B45"/>
    <w:rsid w:val="00FD5D15"/>
    <w:rsid w:val="00FD5FE0"/>
    <w:rsid w:val="00FD628C"/>
    <w:rsid w:val="00FD6708"/>
    <w:rsid w:val="00FD6733"/>
    <w:rsid w:val="00FD67E1"/>
    <w:rsid w:val="00FD69BA"/>
    <w:rsid w:val="00FD6AC0"/>
    <w:rsid w:val="00FD6B5E"/>
    <w:rsid w:val="00FD6DA0"/>
    <w:rsid w:val="00FD6FF3"/>
    <w:rsid w:val="00FD70C0"/>
    <w:rsid w:val="00FD73EA"/>
    <w:rsid w:val="00FD74C8"/>
    <w:rsid w:val="00FD7657"/>
    <w:rsid w:val="00FD789B"/>
    <w:rsid w:val="00FD78AA"/>
    <w:rsid w:val="00FD7DB3"/>
    <w:rsid w:val="00FD7DCE"/>
    <w:rsid w:val="00FD7F36"/>
    <w:rsid w:val="00FD7FBE"/>
    <w:rsid w:val="00FE0366"/>
    <w:rsid w:val="00FE0A1D"/>
    <w:rsid w:val="00FE0A8E"/>
    <w:rsid w:val="00FE0AC7"/>
    <w:rsid w:val="00FE10D3"/>
    <w:rsid w:val="00FE1288"/>
    <w:rsid w:val="00FE1453"/>
    <w:rsid w:val="00FE18B8"/>
    <w:rsid w:val="00FE19F8"/>
    <w:rsid w:val="00FE1E7B"/>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E7F33"/>
    <w:rsid w:val="00FF047C"/>
    <w:rsid w:val="00FF0AD2"/>
    <w:rsid w:val="00FF0C8C"/>
    <w:rsid w:val="00FF0DF2"/>
    <w:rsid w:val="00FF0FA9"/>
    <w:rsid w:val="00FF1013"/>
    <w:rsid w:val="00FF10B5"/>
    <w:rsid w:val="00FF110F"/>
    <w:rsid w:val="00FF14E1"/>
    <w:rsid w:val="00FF16A1"/>
    <w:rsid w:val="00FF1BDE"/>
    <w:rsid w:val="00FF1CFB"/>
    <w:rsid w:val="00FF1EE4"/>
    <w:rsid w:val="00FF23E6"/>
    <w:rsid w:val="00FF260C"/>
    <w:rsid w:val="00FF26E2"/>
    <w:rsid w:val="00FF27BF"/>
    <w:rsid w:val="00FF2C35"/>
    <w:rsid w:val="00FF2CF0"/>
    <w:rsid w:val="00FF2E0B"/>
    <w:rsid w:val="00FF319A"/>
    <w:rsid w:val="00FF3707"/>
    <w:rsid w:val="00FF3710"/>
    <w:rsid w:val="00FF37F4"/>
    <w:rsid w:val="00FF3D10"/>
    <w:rsid w:val="00FF3EDF"/>
    <w:rsid w:val="00FF3FC2"/>
    <w:rsid w:val="00FF425C"/>
    <w:rsid w:val="00FF451E"/>
    <w:rsid w:val="00FF46E3"/>
    <w:rsid w:val="00FF4836"/>
    <w:rsid w:val="00FF4879"/>
    <w:rsid w:val="00FF4892"/>
    <w:rsid w:val="00FF4915"/>
    <w:rsid w:val="00FF4CB4"/>
    <w:rsid w:val="00FF4F97"/>
    <w:rsid w:val="00FF538D"/>
    <w:rsid w:val="00FF5415"/>
    <w:rsid w:val="00FF5B4C"/>
    <w:rsid w:val="00FF5CB1"/>
    <w:rsid w:val="00FF5CEC"/>
    <w:rsid w:val="00FF5FC4"/>
    <w:rsid w:val="00FF6197"/>
    <w:rsid w:val="00FF6331"/>
    <w:rsid w:val="00FF6511"/>
    <w:rsid w:val="00FF67D2"/>
    <w:rsid w:val="00FF6998"/>
    <w:rsid w:val="00FF6D34"/>
    <w:rsid w:val="00FF6EB9"/>
    <w:rsid w:val="00FF706E"/>
    <w:rsid w:val="00FF7154"/>
    <w:rsid w:val="00FF7456"/>
    <w:rsid w:val="00FF757E"/>
    <w:rsid w:val="00FF76A5"/>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53F9C96F"/>
  <w15:docId w15:val="{7ECF019F-F4FF-49F7-B4E3-3788BFA3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ind w:left="714" w:hanging="357"/>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0C"/>
    <w:pPr>
      <w:spacing w:before="240" w:after="240"/>
    </w:pPr>
    <w:rPr>
      <w:rFonts w:ascii="Arial" w:hAnsi="Arial"/>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outlineLvl w:val="1"/>
    </w:pPr>
    <w:rPr>
      <w:rFonts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sz w:val="22"/>
      <w:szCs w:val="20"/>
    </w:rPr>
  </w:style>
  <w:style w:type="paragraph" w:styleId="BodyText3">
    <w:name w:val="Body Text 3"/>
    <w:basedOn w:val="Normal"/>
    <w:link w:val="BodyText3Char"/>
    <w:rsid w:val="002021F6"/>
    <w:pPr>
      <w:jc w:val="both"/>
    </w:pPr>
    <w:rPr>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jc w:val="left"/>
    </w:pPr>
    <w:rPr>
      <w:rFonts w:ascii="Univers" w:hAnsi="Univers" w:cs="Arial"/>
      <w:sz w:val="20"/>
      <w:lang w:val="en-US"/>
    </w:rPr>
  </w:style>
  <w:style w:type="paragraph" w:styleId="BodyText">
    <w:name w:val="Body Text"/>
    <w:basedOn w:val="Normal"/>
    <w:link w:val="BodyTextChar"/>
    <w:rsid w:val="006277EA"/>
    <w:rPr>
      <w:rFonts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uiPriority w:val="99"/>
    <w:rsid w:val="006277EA"/>
    <w:pPr>
      <w:tabs>
        <w:tab w:val="center" w:pos="4153"/>
        <w:tab w:val="right" w:pos="8306"/>
      </w:tabs>
    </w:pPr>
  </w:style>
  <w:style w:type="character" w:customStyle="1" w:styleId="FooterChar">
    <w:name w:val="Footer Char"/>
    <w:link w:val="Footer"/>
    <w:uiPriority w:val="99"/>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outlineLvl w:val="0"/>
    </w:pPr>
    <w:rPr>
      <w:rFonts w:eastAsia="MS Mincho"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b/>
    </w:rPr>
  </w:style>
  <w:style w:type="paragraph" w:customStyle="1" w:styleId="HSR">
    <w:name w:val="HSR"/>
    <w:aliases w:val="Subregulation Heading"/>
    <w:basedOn w:val="Normal"/>
    <w:next w:val="Normal"/>
    <w:rsid w:val="006129D2"/>
    <w:pPr>
      <w:keepNext/>
      <w:spacing w:before="300"/>
      <w:ind w:left="964"/>
    </w:pPr>
    <w:rPr>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 w:type="paragraph" w:customStyle="1" w:styleId="paragraphsub0">
    <w:name w:val="paragraphsub"/>
    <w:basedOn w:val="Normal"/>
    <w:rsid w:val="00850D36"/>
    <w:pPr>
      <w:spacing w:before="100" w:beforeAutospacing="1" w:after="100" w:afterAutospacing="1"/>
      <w:ind w:left="0" w:firstLine="0"/>
    </w:pPr>
    <w:rPr>
      <w:lang w:eastAsia="en-AU"/>
    </w:rPr>
  </w:style>
  <w:style w:type="character" w:styleId="CommentReference">
    <w:name w:val="annotation reference"/>
    <w:basedOn w:val="DefaultParagraphFont"/>
    <w:semiHidden/>
    <w:unhideWhenUsed/>
    <w:rsid w:val="00E20F17"/>
    <w:rPr>
      <w:sz w:val="16"/>
      <w:szCs w:val="16"/>
    </w:rPr>
  </w:style>
  <w:style w:type="paragraph" w:styleId="CommentText">
    <w:name w:val="annotation text"/>
    <w:basedOn w:val="Normal"/>
    <w:link w:val="CommentTextChar"/>
    <w:semiHidden/>
    <w:unhideWhenUsed/>
    <w:rsid w:val="00E20F17"/>
    <w:pPr>
      <w:ind w:left="0" w:firstLine="0"/>
    </w:pPr>
    <w:rPr>
      <w:sz w:val="20"/>
      <w:szCs w:val="20"/>
    </w:rPr>
  </w:style>
  <w:style w:type="character" w:customStyle="1" w:styleId="CommentTextChar">
    <w:name w:val="Comment Text Char"/>
    <w:basedOn w:val="DefaultParagraphFont"/>
    <w:link w:val="CommentText"/>
    <w:semiHidden/>
    <w:rsid w:val="00E20F17"/>
    <w:rPr>
      <w:lang w:eastAsia="en-US"/>
    </w:rPr>
  </w:style>
  <w:style w:type="paragraph" w:styleId="CommentSubject">
    <w:name w:val="annotation subject"/>
    <w:basedOn w:val="CommentText"/>
    <w:next w:val="CommentText"/>
    <w:link w:val="CommentSubjectChar"/>
    <w:semiHidden/>
    <w:unhideWhenUsed/>
    <w:rsid w:val="00F76163"/>
    <w:pPr>
      <w:ind w:left="714" w:hanging="357"/>
    </w:pPr>
    <w:rPr>
      <w:b/>
      <w:bCs/>
    </w:rPr>
  </w:style>
  <w:style w:type="character" w:customStyle="1" w:styleId="CommentSubjectChar">
    <w:name w:val="Comment Subject Char"/>
    <w:basedOn w:val="CommentTextChar"/>
    <w:link w:val="CommentSubject"/>
    <w:semiHidden/>
    <w:rsid w:val="00F761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183321994">
      <w:bodyDiv w:val="1"/>
      <w:marLeft w:val="0"/>
      <w:marRight w:val="0"/>
      <w:marTop w:val="0"/>
      <w:marBottom w:val="0"/>
      <w:divBdr>
        <w:top w:val="none" w:sz="0" w:space="0" w:color="auto"/>
        <w:left w:val="none" w:sz="0" w:space="0" w:color="auto"/>
        <w:bottom w:val="none" w:sz="0" w:space="0" w:color="auto"/>
        <w:right w:val="none" w:sz="0" w:space="0" w:color="auto"/>
      </w:divBdr>
    </w:div>
    <w:div w:id="254021734">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521288087">
      <w:bodyDiv w:val="1"/>
      <w:marLeft w:val="0"/>
      <w:marRight w:val="0"/>
      <w:marTop w:val="0"/>
      <w:marBottom w:val="0"/>
      <w:divBdr>
        <w:top w:val="none" w:sz="0" w:space="0" w:color="auto"/>
        <w:left w:val="none" w:sz="0" w:space="0" w:color="auto"/>
        <w:bottom w:val="none" w:sz="0" w:space="0" w:color="auto"/>
        <w:right w:val="none" w:sz="0" w:space="0" w:color="auto"/>
      </w:divBdr>
    </w:div>
    <w:div w:id="526913021">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42342335">
      <w:bodyDiv w:val="1"/>
      <w:marLeft w:val="0"/>
      <w:marRight w:val="0"/>
      <w:marTop w:val="0"/>
      <w:marBottom w:val="0"/>
      <w:divBdr>
        <w:top w:val="none" w:sz="0" w:space="0" w:color="auto"/>
        <w:left w:val="none" w:sz="0" w:space="0" w:color="auto"/>
        <w:bottom w:val="none" w:sz="0" w:space="0" w:color="auto"/>
        <w:right w:val="none" w:sz="0" w:space="0" w:color="auto"/>
      </w:divBdr>
    </w:div>
    <w:div w:id="942541384">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438260014">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48439417">
      <w:bodyDiv w:val="1"/>
      <w:marLeft w:val="0"/>
      <w:marRight w:val="0"/>
      <w:marTop w:val="0"/>
      <w:marBottom w:val="0"/>
      <w:divBdr>
        <w:top w:val="none" w:sz="0" w:space="0" w:color="auto"/>
        <w:left w:val="none" w:sz="0" w:space="0" w:color="auto"/>
        <w:bottom w:val="none" w:sz="0" w:space="0" w:color="auto"/>
        <w:right w:val="none" w:sz="0" w:space="0" w:color="auto"/>
      </w:divBdr>
    </w:div>
    <w:div w:id="1653631245">
      <w:bodyDiv w:val="1"/>
      <w:marLeft w:val="0"/>
      <w:marRight w:val="0"/>
      <w:marTop w:val="0"/>
      <w:marBottom w:val="0"/>
      <w:divBdr>
        <w:top w:val="none" w:sz="0" w:space="0" w:color="auto"/>
        <w:left w:val="none" w:sz="0" w:space="0" w:color="auto"/>
        <w:bottom w:val="none" w:sz="0" w:space="0" w:color="auto"/>
        <w:right w:val="none" w:sz="0" w:space="0" w:color="auto"/>
      </w:divBdr>
    </w:div>
    <w:div w:id="1666974126">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1980958694">
      <w:bodyDiv w:val="1"/>
      <w:marLeft w:val="0"/>
      <w:marRight w:val="0"/>
      <w:marTop w:val="0"/>
      <w:marBottom w:val="0"/>
      <w:divBdr>
        <w:top w:val="none" w:sz="0" w:space="0" w:color="auto"/>
        <w:left w:val="none" w:sz="0" w:space="0" w:color="auto"/>
        <w:bottom w:val="none" w:sz="0" w:space="0" w:color="auto"/>
        <w:right w:val="none" w:sz="0" w:space="0" w:color="auto"/>
      </w:divBdr>
    </w:div>
    <w:div w:id="1987396889">
      <w:bodyDiv w:val="1"/>
      <w:marLeft w:val="0"/>
      <w:marRight w:val="0"/>
      <w:marTop w:val="0"/>
      <w:marBottom w:val="0"/>
      <w:divBdr>
        <w:top w:val="none" w:sz="0" w:space="0" w:color="auto"/>
        <w:left w:val="none" w:sz="0" w:space="0" w:color="auto"/>
        <w:bottom w:val="none" w:sz="0" w:space="0" w:color="auto"/>
        <w:right w:val="none" w:sz="0" w:space="0" w:color="auto"/>
      </w:divBdr>
    </w:div>
    <w:div w:id="1991790908">
      <w:bodyDiv w:val="1"/>
      <w:marLeft w:val="0"/>
      <w:marRight w:val="0"/>
      <w:marTop w:val="0"/>
      <w:marBottom w:val="0"/>
      <w:divBdr>
        <w:top w:val="none" w:sz="0" w:space="0" w:color="auto"/>
        <w:left w:val="none" w:sz="0" w:space="0" w:color="auto"/>
        <w:bottom w:val="none" w:sz="0" w:space="0" w:color="auto"/>
        <w:right w:val="none" w:sz="0" w:space="0" w:color="auto"/>
      </w:divBdr>
    </w:div>
    <w:div w:id="2056006752">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 w:id="21233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lisa.maxted\AppData\Local\Microsoft\Windows\INetCache\Content.Outlook\6ODMWTVS\,%20https:\www.ndis.gov.au\media\2146\download,%20pp.431-444" TargetMode="External"/><Relationship Id="rId18" Type="http://schemas.openxmlformats.org/officeDocument/2006/relationships/hyperlink" Target="http://onlinelibrary.wiley.com/doi/10.1111/jar.12291/full" TargetMode="External"/><Relationship Id="rId26" Type="http://schemas.openxmlformats.org/officeDocument/2006/relationships/hyperlink" Target="https://www.fwc.gov.au/documents/sites/awardsmodernfouryr/pr713525.pdf" TargetMode="External"/><Relationship Id="rId21" Type="http://schemas.openxmlformats.org/officeDocument/2006/relationships/hyperlink" Target="https://www.tandfonline.com/doi/pdf/10.3109/13668250.2017.1299117?needAccess=tru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mandarin.com.au/108375-why-housing-is-a-major-public-health-issue-for-australians-with-disability/)" TargetMode="External"/><Relationship Id="rId17" Type="http://schemas.openxmlformats.org/officeDocument/2006/relationships/hyperlink" Target="https://www.publicadvocate.vic.gov.au/media-centre/377-violence-by-co-residents-in-group-homes" TargetMode="External"/><Relationship Id="rId25" Type="http://schemas.openxmlformats.org/officeDocument/2006/relationships/hyperlink" Target="https://www.ndis.gov.au/providers/housing-and-living-supports-and-services/housing/individual-living-options" TargetMode="External"/><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onlinelibrary.wiley.com/doi/pdf/10.1111/jar.12291" TargetMode="External"/><Relationship Id="rId20" Type="http://schemas.openxmlformats.org/officeDocument/2006/relationships/hyperlink" Target="http://onlinelibrary.wiley.com/doi/10.1111/jar.12291/full" TargetMode="External"/><Relationship Id="rId29" Type="http://schemas.openxmlformats.org/officeDocument/2006/relationships/hyperlink" Target="tel:0437%20107%208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providers/housing-and-living-supports-and-services/housing/specialist-disability-accommodation/sda-pricing-and-payments" TargetMode="External"/><Relationship Id="rId24"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ndis.gov.au/providers/housing-and-living-supports-and-services/housing/specialist-disability-accommodation/sda-design-standard" TargetMode="External"/><Relationship Id="rId23" Type="http://schemas.openxmlformats.org/officeDocument/2006/relationships/hyperlink" Target="https://www.nds.org.au/resources/zero-tolerance" TargetMode="External"/><Relationship Id="rId28" Type="http://schemas.openxmlformats.org/officeDocument/2006/relationships/hyperlink" Target="tel:03%208341%204343" TargetMode="External"/><Relationship Id="rId36" Type="http://schemas.openxmlformats.org/officeDocument/2006/relationships/customXml" Target="../customXml/item2.xml"/><Relationship Id="rId10" Type="http://schemas.openxmlformats.org/officeDocument/2006/relationships/hyperlink" Target="https://www.ndis.gov.au/providers/housing-and-living-supports-and-services/housing/specialist-disability-accommodation" TargetMode="External"/><Relationship Id="rId19" Type="http://schemas.openxmlformats.org/officeDocument/2006/relationships/hyperlink" Target="file:///C:\Users\alisa.maxted\AppData\Local\Microsoft\Windows\INetCache\Content.Outlook\6ODMWTVS\website%20https:\www.cadr.org.au\research-to-action-guides\good-group-hom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gov.au/media/2146/download" TargetMode="External"/><Relationship Id="rId14" Type="http://schemas.openxmlformats.org/officeDocument/2006/relationships/hyperlink" Target="https://www.ndis.gov.au/media/1137/download" TargetMode="External"/><Relationship Id="rId22" Type="http://schemas.openxmlformats.org/officeDocument/2006/relationships/hyperlink" Target="file:///C:\Users\alisa.maxted\AppData\Local\Microsoft\Windows\INetCache\Content.Outlook\6ODMWTVS\)%20https:\www.ndis.gov.au\providers\housing-and-living-supports-and-services\housing\individual-living-options" TargetMode="External"/><Relationship Id="rId27" Type="http://schemas.openxmlformats.org/officeDocument/2006/relationships/hyperlink" Target="https://www.nds.org.au/news/disability-workforce-report-introduces-state-analys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pc.gov.au/research/ongoing/report-on-government-services/2015/community-services/services-for-people-with-disabilit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9CE38-AB80-47CC-9827-A0BB8967D3AE}">
  <ds:schemaRefs>
    <ds:schemaRef ds:uri="http://schemas.openxmlformats.org/officeDocument/2006/bibliography"/>
  </ds:schemaRefs>
</ds:datastoreItem>
</file>

<file path=customXml/itemProps2.xml><?xml version="1.0" encoding="utf-8"?>
<ds:datastoreItem xmlns:ds="http://schemas.openxmlformats.org/officeDocument/2006/customXml" ds:itemID="{A311D972-1215-4953-A4DA-57759BA6636C}"/>
</file>

<file path=customXml/itemProps3.xml><?xml version="1.0" encoding="utf-8"?>
<ds:datastoreItem xmlns:ds="http://schemas.openxmlformats.org/officeDocument/2006/customXml" ds:itemID="{FE4A5B14-D41E-47A3-9134-CB4ECB130B26}"/>
</file>

<file path=customXml/itemProps4.xml><?xml version="1.0" encoding="utf-8"?>
<ds:datastoreItem xmlns:ds="http://schemas.openxmlformats.org/officeDocument/2006/customXml" ds:itemID="{29A92617-14AA-46D7-A728-9275B00C9A88}"/>
</file>

<file path=docProps/app.xml><?xml version="1.0" encoding="utf-8"?>
<Properties xmlns="http://schemas.openxmlformats.org/officeDocument/2006/extended-properties" xmlns:vt="http://schemas.openxmlformats.org/officeDocument/2006/docPropsVTypes">
  <Template>7BB043FE.dotm</Template>
  <TotalTime>0</TotalTime>
  <Pages>22</Pages>
  <Words>9382</Words>
  <Characters>54799</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64053</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Philippa Angley</dc:creator>
  <cp:lastModifiedBy>Alisa Maxted</cp:lastModifiedBy>
  <cp:revision>2</cp:revision>
  <cp:lastPrinted>2020-02-27T06:00:00Z</cp:lastPrinted>
  <dcterms:created xsi:type="dcterms:W3CDTF">2020-03-02T06:13:00Z</dcterms:created>
  <dcterms:modified xsi:type="dcterms:W3CDTF">2020-03-02T06:13:00Z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